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CD4D" w14:textId="77777777" w:rsidR="00FF37FA" w:rsidRPr="00380312" w:rsidRDefault="00FF37FA" w:rsidP="00380312">
      <w:pPr>
        <w:ind w:left="274"/>
        <w:jc w:val="both"/>
        <w:rPr>
          <w:b/>
          <w:sz w:val="20"/>
          <w:szCs w:val="20"/>
        </w:rPr>
      </w:pPr>
    </w:p>
    <w:p w14:paraId="4D9867F9" w14:textId="1FB866F7" w:rsidR="00365B21" w:rsidRPr="009E510A" w:rsidRDefault="007A612C" w:rsidP="000D453E">
      <w:pPr>
        <w:spacing w:before="101" w:after="240"/>
        <w:ind w:left="274"/>
        <w:jc w:val="both"/>
        <w:rPr>
          <w:b/>
          <w:sz w:val="24"/>
          <w:szCs w:val="24"/>
        </w:rPr>
      </w:pPr>
      <w:r w:rsidRPr="009E510A">
        <w:rPr>
          <w:b/>
          <w:sz w:val="24"/>
          <w:szCs w:val="24"/>
        </w:rPr>
        <w:t>PURPOSE</w:t>
      </w:r>
    </w:p>
    <w:p w14:paraId="5E4C5B99" w14:textId="6A8E0161" w:rsidR="004159B0" w:rsidRDefault="007A612C" w:rsidP="007A4110">
      <w:pPr>
        <w:pStyle w:val="BodyText"/>
        <w:spacing w:line="288" w:lineRule="auto"/>
        <w:ind w:left="274" w:right="634"/>
      </w:pPr>
      <w:r w:rsidRPr="006E5F0F">
        <w:t>The purpose of this job aid</w:t>
      </w:r>
      <w:r w:rsidR="006E5F0F">
        <w:t xml:space="preserve"> is to </w:t>
      </w:r>
      <w:r w:rsidR="00F755C5">
        <w:t xml:space="preserve">a) </w:t>
      </w:r>
      <w:r w:rsidR="006E5F0F">
        <w:t xml:space="preserve">document </w:t>
      </w:r>
      <w:r w:rsidR="007A4110">
        <w:t>the available options and considerations for human subject payments on sponsored project</w:t>
      </w:r>
      <w:r w:rsidR="00F755C5">
        <w:t>s and b) describe the process for conducting human subject payments.</w:t>
      </w:r>
    </w:p>
    <w:p w14:paraId="0C2DAEE6" w14:textId="4F9B74E3" w:rsidR="00570FD9" w:rsidRDefault="00570FD9" w:rsidP="00570FD9">
      <w:pPr>
        <w:pStyle w:val="BodyText"/>
        <w:spacing w:line="288" w:lineRule="auto"/>
        <w:ind w:right="634"/>
      </w:pPr>
    </w:p>
    <w:p w14:paraId="1E910631" w14:textId="2E91FEDB" w:rsidR="00F755C5" w:rsidRPr="009E510A" w:rsidRDefault="00F755C5" w:rsidP="00F755C5">
      <w:pPr>
        <w:spacing w:before="101" w:after="240"/>
        <w:ind w:left="274"/>
        <w:jc w:val="both"/>
        <w:rPr>
          <w:b/>
          <w:sz w:val="24"/>
          <w:szCs w:val="24"/>
        </w:rPr>
      </w:pPr>
      <w:bookmarkStart w:id="0" w:name="_bookmark0"/>
      <w:bookmarkEnd w:id="0"/>
      <w:r>
        <w:rPr>
          <w:b/>
          <w:sz w:val="24"/>
          <w:szCs w:val="24"/>
        </w:rPr>
        <w:t>PREREQUISITES</w:t>
      </w:r>
    </w:p>
    <w:p w14:paraId="3CA7548D" w14:textId="28A28E18" w:rsidR="00F755C5" w:rsidRDefault="00F755C5" w:rsidP="00F755C5">
      <w:pPr>
        <w:pStyle w:val="BodyText"/>
        <w:spacing w:line="288" w:lineRule="auto"/>
        <w:ind w:left="274" w:right="634"/>
      </w:pPr>
      <w:r>
        <w:t>The custodian should be a faculty or staff employee. Exceptions must be routed to department leadership for review.</w:t>
      </w:r>
    </w:p>
    <w:p w14:paraId="2291932A" w14:textId="77777777" w:rsidR="00F755C5" w:rsidRPr="00F755C5" w:rsidRDefault="00F755C5" w:rsidP="00F755C5">
      <w:pPr>
        <w:pStyle w:val="ListParagraph"/>
        <w:widowControl/>
        <w:autoSpaceDE/>
        <w:autoSpaceDN/>
        <w:spacing w:before="120" w:after="160" w:line="360" w:lineRule="auto"/>
        <w:ind w:left="720" w:firstLine="0"/>
        <w:contextualSpacing/>
        <w:rPr>
          <w:rFonts w:cstheme="minorHAnsi"/>
          <w:sz w:val="20"/>
          <w:szCs w:val="20"/>
        </w:rPr>
      </w:pPr>
    </w:p>
    <w:p w14:paraId="6FC278D1" w14:textId="31805033" w:rsidR="0020481B" w:rsidRPr="0020481B" w:rsidRDefault="0020481B" w:rsidP="00B9713A">
      <w:pPr>
        <w:pStyle w:val="ListParagraph"/>
        <w:widowControl/>
        <w:numPr>
          <w:ilvl w:val="0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r>
        <w:rPr>
          <w:sz w:val="20"/>
          <w:szCs w:val="20"/>
        </w:rPr>
        <w:t>Roles</w:t>
      </w:r>
    </w:p>
    <w:p w14:paraId="56310187" w14:textId="07528B72" w:rsidR="5C55EEFA" w:rsidRDefault="00567635" w:rsidP="00567635">
      <w:pPr>
        <w:pStyle w:val="ListParagraph"/>
        <w:widowControl/>
        <w:numPr>
          <w:ilvl w:val="1"/>
          <w:numId w:val="2"/>
        </w:numPr>
        <w:spacing w:before="120" w:after="160" w:line="360" w:lineRule="auto"/>
        <w:contextualSpacing/>
        <w:rPr>
          <w:rStyle w:val="Hyperlink"/>
          <w:rFonts w:cstheme="minorBidi"/>
          <w:color w:val="auto"/>
          <w:sz w:val="20"/>
          <w:szCs w:val="20"/>
          <w:u w:val="none"/>
        </w:rPr>
      </w:pPr>
      <w:r>
        <w:rPr>
          <w:rStyle w:val="Hyperlink"/>
          <w:rFonts w:cstheme="minorBidi"/>
          <w:color w:val="auto"/>
          <w:sz w:val="20"/>
          <w:szCs w:val="20"/>
          <w:u w:val="none"/>
        </w:rPr>
        <w:t>Department Data Entry Specialist Spend</w:t>
      </w:r>
    </w:p>
    <w:p w14:paraId="04BC4259" w14:textId="3D71178C" w:rsidR="00567635" w:rsidRPr="00567635" w:rsidRDefault="00567635" w:rsidP="00567635">
      <w:pPr>
        <w:pStyle w:val="ListParagraph"/>
        <w:widowControl/>
        <w:numPr>
          <w:ilvl w:val="2"/>
          <w:numId w:val="2"/>
        </w:numPr>
        <w:spacing w:before="120" w:after="160" w:line="360" w:lineRule="auto"/>
        <w:contextualSpacing/>
        <w:rPr>
          <w:rStyle w:val="Hyperlink"/>
          <w:rFonts w:cstheme="minorBidi"/>
          <w:i/>
          <w:iCs/>
          <w:color w:val="auto"/>
          <w:sz w:val="20"/>
          <w:szCs w:val="20"/>
          <w:u w:val="none"/>
        </w:rPr>
      </w:pPr>
      <w:r w:rsidRPr="00567635">
        <w:rPr>
          <w:rStyle w:val="Hyperlink"/>
          <w:rFonts w:cstheme="minorBidi"/>
          <w:i/>
          <w:iCs/>
          <w:color w:val="auto"/>
          <w:sz w:val="20"/>
          <w:szCs w:val="20"/>
          <w:u w:val="none"/>
        </w:rPr>
        <w:t>Creating Spend Authorization for Worker</w:t>
      </w:r>
    </w:p>
    <w:p w14:paraId="36A119BF" w14:textId="1FD504D3" w:rsidR="00567635" w:rsidRPr="00567635" w:rsidRDefault="00567635" w:rsidP="00567635">
      <w:pPr>
        <w:pStyle w:val="ListParagraph"/>
        <w:widowControl/>
        <w:numPr>
          <w:ilvl w:val="2"/>
          <w:numId w:val="2"/>
        </w:numPr>
        <w:spacing w:before="120" w:after="160" w:line="360" w:lineRule="auto"/>
        <w:contextualSpacing/>
        <w:rPr>
          <w:rStyle w:val="Hyperlink"/>
          <w:rFonts w:cstheme="minorBidi"/>
          <w:i/>
          <w:iCs/>
          <w:color w:val="auto"/>
          <w:sz w:val="20"/>
          <w:szCs w:val="20"/>
          <w:u w:val="none"/>
        </w:rPr>
      </w:pPr>
      <w:r w:rsidRPr="00567635">
        <w:rPr>
          <w:rStyle w:val="Hyperlink"/>
          <w:rFonts w:cstheme="minorBidi"/>
          <w:i/>
          <w:iCs/>
          <w:color w:val="auto"/>
          <w:sz w:val="20"/>
          <w:szCs w:val="20"/>
          <w:u w:val="none"/>
        </w:rPr>
        <w:t>Creating Expense Report again a Spend Authorization</w:t>
      </w:r>
    </w:p>
    <w:p w14:paraId="56597EA7" w14:textId="77777777" w:rsidR="0020481B" w:rsidRPr="0020481B" w:rsidRDefault="0020481B" w:rsidP="00B9713A">
      <w:pPr>
        <w:pStyle w:val="ListParagraph"/>
        <w:widowControl/>
        <w:numPr>
          <w:ilvl w:val="0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r>
        <w:rPr>
          <w:sz w:val="20"/>
          <w:szCs w:val="20"/>
        </w:rPr>
        <w:t>Training</w:t>
      </w:r>
    </w:p>
    <w:p w14:paraId="0DF15D17" w14:textId="775534F6" w:rsidR="0052580C" w:rsidRDefault="00000000" w:rsidP="00B9713A">
      <w:pPr>
        <w:pStyle w:val="ListParagraph"/>
        <w:widowControl/>
        <w:numPr>
          <w:ilvl w:val="1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hyperlink r:id="rId10" w:history="1">
        <w:r w:rsidR="007A4110" w:rsidRPr="007A4110">
          <w:rPr>
            <w:rStyle w:val="Hyperlink"/>
            <w:rFonts w:cstheme="minorHAnsi"/>
            <w:sz w:val="20"/>
            <w:szCs w:val="20"/>
          </w:rPr>
          <w:t>ASU Cash Handling Training</w:t>
        </w:r>
      </w:hyperlink>
    </w:p>
    <w:p w14:paraId="3ABC4A19" w14:textId="7E7D620C" w:rsidR="0035107A" w:rsidRDefault="00F755C5" w:rsidP="0035107A">
      <w:pPr>
        <w:pStyle w:val="ListParagraph"/>
        <w:widowControl/>
        <w:numPr>
          <w:ilvl w:val="0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Related </w:t>
      </w:r>
      <w:r w:rsidR="007A4110">
        <w:rPr>
          <w:rFonts w:cstheme="minorHAnsi"/>
          <w:sz w:val="20"/>
          <w:szCs w:val="20"/>
        </w:rPr>
        <w:t>Policies</w:t>
      </w:r>
    </w:p>
    <w:p w14:paraId="5710B6EB" w14:textId="73FC0275" w:rsidR="0035107A" w:rsidRDefault="00000000" w:rsidP="0035107A">
      <w:pPr>
        <w:pStyle w:val="ListParagraph"/>
        <w:widowControl/>
        <w:numPr>
          <w:ilvl w:val="1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hyperlink r:id="rId11" w:history="1">
        <w:r w:rsidR="007A4110" w:rsidRPr="007A4110">
          <w:rPr>
            <w:rStyle w:val="Hyperlink"/>
            <w:rFonts w:cstheme="minorHAnsi"/>
            <w:sz w:val="20"/>
            <w:szCs w:val="20"/>
          </w:rPr>
          <w:t>FIN 403: Spend Authorization – Cash Advance</w:t>
        </w:r>
      </w:hyperlink>
    </w:p>
    <w:p w14:paraId="25F7452E" w14:textId="2C6E9861" w:rsidR="007A4110" w:rsidRDefault="00000000" w:rsidP="0035107A">
      <w:pPr>
        <w:pStyle w:val="ListParagraph"/>
        <w:widowControl/>
        <w:numPr>
          <w:ilvl w:val="1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hyperlink r:id="rId12" w:history="1">
        <w:r w:rsidR="007A4110" w:rsidRPr="007A4110">
          <w:rPr>
            <w:rStyle w:val="Hyperlink"/>
            <w:rFonts w:cstheme="minorHAnsi"/>
            <w:sz w:val="20"/>
            <w:szCs w:val="20"/>
          </w:rPr>
          <w:t>FIN 421-05: Human Subject Payments</w:t>
        </w:r>
      </w:hyperlink>
    </w:p>
    <w:p w14:paraId="4B58EF8A" w14:textId="05F3C876" w:rsidR="007A4110" w:rsidRDefault="00000000" w:rsidP="0035107A">
      <w:pPr>
        <w:pStyle w:val="ListParagraph"/>
        <w:widowControl/>
        <w:numPr>
          <w:ilvl w:val="1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hyperlink r:id="rId13" w:history="1">
        <w:r w:rsidR="007A4110" w:rsidRPr="007A4110">
          <w:rPr>
            <w:rStyle w:val="Hyperlink"/>
            <w:rFonts w:cstheme="minorHAnsi"/>
            <w:sz w:val="20"/>
            <w:szCs w:val="20"/>
          </w:rPr>
          <w:t>RSP 503-02: Sponsored Project Spend Authorizations</w:t>
        </w:r>
      </w:hyperlink>
    </w:p>
    <w:p w14:paraId="745E0C37" w14:textId="6504933C" w:rsidR="007A4110" w:rsidRDefault="00000000" w:rsidP="0035107A">
      <w:pPr>
        <w:pStyle w:val="ListParagraph"/>
        <w:widowControl/>
        <w:numPr>
          <w:ilvl w:val="1"/>
          <w:numId w:val="2"/>
        </w:numPr>
        <w:autoSpaceDE/>
        <w:autoSpaceDN/>
        <w:spacing w:before="120" w:after="160" w:line="360" w:lineRule="auto"/>
        <w:contextualSpacing/>
        <w:rPr>
          <w:rFonts w:cstheme="minorHAnsi"/>
          <w:sz w:val="20"/>
          <w:szCs w:val="20"/>
        </w:rPr>
      </w:pPr>
      <w:hyperlink r:id="rId14" w:history="1">
        <w:r w:rsidR="007A4110" w:rsidRPr="007A4110">
          <w:rPr>
            <w:rStyle w:val="Hyperlink"/>
            <w:rFonts w:cstheme="minorHAnsi"/>
            <w:sz w:val="20"/>
            <w:szCs w:val="20"/>
          </w:rPr>
          <w:t>Research Integrity: Human Subjects</w:t>
        </w:r>
      </w:hyperlink>
    </w:p>
    <w:p w14:paraId="74CE0C3D" w14:textId="7F5C951C" w:rsidR="00FF37FA" w:rsidRDefault="00FF37FA" w:rsidP="00FF37FA">
      <w:pPr>
        <w:widowControl/>
        <w:autoSpaceDE/>
        <w:autoSpaceDN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04BA218E" w14:textId="77777777" w:rsidR="006D312F" w:rsidRPr="009E510A" w:rsidRDefault="006D312F" w:rsidP="006D312F">
      <w:pPr>
        <w:spacing w:before="101" w:after="240"/>
        <w:ind w:left="2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TOOLS AND RESOURCES</w:t>
      </w:r>
    </w:p>
    <w:p w14:paraId="1E381ADC" w14:textId="16CD353C" w:rsidR="00F755C5" w:rsidRPr="00F755C5" w:rsidRDefault="00F755C5" w:rsidP="5C55EEFA">
      <w:pPr>
        <w:pStyle w:val="ListParagraph"/>
        <w:widowControl/>
        <w:numPr>
          <w:ilvl w:val="0"/>
          <w:numId w:val="2"/>
        </w:numPr>
        <w:autoSpaceDE/>
        <w:autoSpaceDN/>
        <w:spacing w:before="120" w:after="160" w:line="360" w:lineRule="auto"/>
        <w:contextualSpacing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Human Subject Payments Questionnaire</w:t>
      </w:r>
    </w:p>
    <w:p w14:paraId="7A2EE16B" w14:textId="2B275016" w:rsidR="00494D3B" w:rsidRPr="00F755C5" w:rsidRDefault="00F755C5" w:rsidP="5C55EEFA">
      <w:pPr>
        <w:pStyle w:val="ListParagraph"/>
        <w:widowControl/>
        <w:numPr>
          <w:ilvl w:val="0"/>
          <w:numId w:val="2"/>
        </w:numPr>
        <w:autoSpaceDE/>
        <w:autoSpaceDN/>
        <w:spacing w:before="120" w:after="160" w:line="360" w:lineRule="auto"/>
        <w:contextualSpacing/>
        <w:rPr>
          <w:rFonts w:cstheme="minorBidi"/>
          <w:sz w:val="20"/>
          <w:szCs w:val="20"/>
        </w:rPr>
      </w:pPr>
      <w:r>
        <w:rPr>
          <w:sz w:val="20"/>
          <w:szCs w:val="20"/>
        </w:rPr>
        <w:t>Human Subject Payments Log</w:t>
      </w:r>
    </w:p>
    <w:p w14:paraId="6B164EAB" w14:textId="77777777" w:rsidR="00F755C5" w:rsidRPr="00A97B63" w:rsidRDefault="00F755C5" w:rsidP="0068372F">
      <w:pPr>
        <w:pStyle w:val="ListParagraph"/>
        <w:widowControl/>
        <w:autoSpaceDE/>
        <w:autoSpaceDN/>
        <w:spacing w:before="120" w:after="160" w:line="360" w:lineRule="auto"/>
        <w:ind w:left="720" w:firstLine="0"/>
        <w:contextualSpacing/>
        <w:rPr>
          <w:rStyle w:val="Hyperlink"/>
          <w:rFonts w:cstheme="minorBidi"/>
          <w:color w:val="auto"/>
          <w:sz w:val="20"/>
          <w:szCs w:val="20"/>
          <w:u w:val="none"/>
        </w:rPr>
      </w:pPr>
    </w:p>
    <w:p w14:paraId="1DD16270" w14:textId="77777777" w:rsidR="006D312F" w:rsidRDefault="006D312F" w:rsidP="00FF37FA">
      <w:pPr>
        <w:widowControl/>
        <w:autoSpaceDE/>
        <w:autoSpaceDN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3861DB0C" w14:textId="1D1D2637" w:rsidR="00FF37FA" w:rsidRDefault="00FF37FA" w:rsidP="00FF37FA">
      <w:pPr>
        <w:widowControl/>
        <w:autoSpaceDE/>
        <w:autoSpaceDN/>
        <w:spacing w:after="160" w:line="259" w:lineRule="auto"/>
        <w:contextualSpacing/>
        <w:rPr>
          <w:rFonts w:cstheme="minorHAnsi"/>
          <w:sz w:val="20"/>
          <w:szCs w:val="20"/>
        </w:rPr>
      </w:pPr>
    </w:p>
    <w:p w14:paraId="1042E8DF" w14:textId="77777777" w:rsidR="006E7825" w:rsidRDefault="006E7825">
      <w:pPr>
        <w:rPr>
          <w:b/>
        </w:rPr>
      </w:pPr>
      <w:r>
        <w:rPr>
          <w:b/>
        </w:rPr>
        <w:br w:type="page"/>
      </w:r>
    </w:p>
    <w:p w14:paraId="1749A262" w14:textId="77777777" w:rsidR="006E7825" w:rsidRDefault="006E7825" w:rsidP="006E7825">
      <w:pPr>
        <w:spacing w:before="101" w:after="240"/>
        <w:jc w:val="both"/>
        <w:rPr>
          <w:b/>
        </w:rPr>
      </w:pPr>
    </w:p>
    <w:p w14:paraId="0175302D" w14:textId="71EC74CC" w:rsidR="0020481B" w:rsidRPr="00E61626" w:rsidRDefault="009E510A" w:rsidP="006E7825">
      <w:pPr>
        <w:spacing w:before="101" w:after="240"/>
        <w:ind w:firstLine="274"/>
        <w:jc w:val="both"/>
        <w:rPr>
          <w:b/>
        </w:rPr>
      </w:pPr>
      <w:r w:rsidRPr="00E61626">
        <w:rPr>
          <w:b/>
        </w:rPr>
        <w:t>PROCESS</w:t>
      </w:r>
    </w:p>
    <w:p w14:paraId="147315B7" w14:textId="5F1D5CBA" w:rsidR="0020481B" w:rsidRPr="00E61626" w:rsidRDefault="007A4110" w:rsidP="00E61626">
      <w:pPr>
        <w:pStyle w:val="BodyText"/>
        <w:spacing w:line="288" w:lineRule="auto"/>
        <w:ind w:left="274" w:right="634"/>
      </w:pPr>
      <w:r>
        <w:t>Payments to participants (human subjects) on sponsored projects is a common occurrence. Whether the payment is in the form of cash or a gift card, there are unique risks involved in managing the cash/cash equivalents until they are safely transferred to the subject.</w:t>
      </w:r>
      <w:r w:rsidR="00F755C5">
        <w:t xml:space="preserve"> </w:t>
      </w:r>
      <w:r w:rsidR="00F755C5" w:rsidRPr="00F755C5">
        <w:t>The best way to reduce the risk of managing subject payments is to keep stored cash equivalents at the lowest balance needed to not interrupt business.</w:t>
      </w:r>
      <w:r w:rsidR="00F755C5">
        <w:t xml:space="preserve"> </w:t>
      </w:r>
      <w:r>
        <w:t xml:space="preserve">The steps below will assist PIs and their staff to administer this requirement. </w:t>
      </w:r>
    </w:p>
    <w:p w14:paraId="271F294D" w14:textId="77777777" w:rsidR="00E61626" w:rsidRDefault="00E61626" w:rsidP="0020481B">
      <w:pPr>
        <w:spacing w:before="101" w:after="120"/>
        <w:ind w:firstLine="360"/>
        <w:jc w:val="both"/>
        <w:rPr>
          <w:b/>
        </w:rPr>
      </w:pPr>
    </w:p>
    <w:p w14:paraId="61F8EA85" w14:textId="6944343D" w:rsidR="009E510A" w:rsidRDefault="007A4110" w:rsidP="0020481B">
      <w:pPr>
        <w:spacing w:before="101" w:after="120"/>
        <w:ind w:firstLine="360"/>
        <w:jc w:val="both"/>
        <w:rPr>
          <w:b/>
        </w:rPr>
      </w:pPr>
      <w:r>
        <w:rPr>
          <w:b/>
        </w:rPr>
        <w:t>DETERMING PAYMENT METHODS</w:t>
      </w:r>
    </w:p>
    <w:p w14:paraId="533EB2B1" w14:textId="65D33C21" w:rsidR="00352D64" w:rsidRPr="00352D64" w:rsidRDefault="00F755C5" w:rsidP="00352D64">
      <w:pPr>
        <w:pStyle w:val="ListParagraph"/>
        <w:widowControl/>
        <w:numPr>
          <w:ilvl w:val="0"/>
          <w:numId w:val="4"/>
        </w:numPr>
        <w:autoSpaceDE/>
        <w:autoSpaceDN/>
        <w:spacing w:before="48" w:line="288" w:lineRule="auto"/>
        <w:contextualSpacing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</w:rPr>
        <w:t xml:space="preserve">Request </w:t>
      </w:r>
      <w:r w:rsidR="00352D64">
        <w:rPr>
          <w:rFonts w:eastAsia="Times New Roman" w:cs="Calibri"/>
          <w:color w:val="000000" w:themeColor="text1"/>
          <w:sz w:val="20"/>
          <w:szCs w:val="20"/>
        </w:rPr>
        <w:t>PI to complete the Human Subject Payments Questionnaire</w:t>
      </w:r>
    </w:p>
    <w:p w14:paraId="73B6B3D9" w14:textId="4E228586" w:rsidR="00352D64" w:rsidRPr="00352D64" w:rsidRDefault="00352D64" w:rsidP="00352D64">
      <w:pPr>
        <w:pStyle w:val="ListParagraph"/>
        <w:widowControl/>
        <w:numPr>
          <w:ilvl w:val="1"/>
          <w:numId w:val="4"/>
        </w:numPr>
        <w:autoSpaceDE/>
        <w:autoSpaceDN/>
        <w:spacing w:before="48" w:line="288" w:lineRule="auto"/>
        <w:contextualSpacing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i/>
          <w:iCs/>
          <w:color w:val="000000" w:themeColor="text1"/>
          <w:sz w:val="20"/>
          <w:szCs w:val="20"/>
        </w:rPr>
        <w:t>This questionnaire is not required and can be modified to suit the needs of the department</w:t>
      </w:r>
    </w:p>
    <w:p w14:paraId="2BADDB37" w14:textId="29699011" w:rsidR="007A4110" w:rsidRDefault="00352D64" w:rsidP="007A4110">
      <w:pPr>
        <w:pStyle w:val="ListParagraph"/>
        <w:widowControl/>
        <w:numPr>
          <w:ilvl w:val="0"/>
          <w:numId w:val="4"/>
        </w:numPr>
        <w:autoSpaceDE/>
        <w:autoSpaceDN/>
        <w:spacing w:before="48" w:line="288" w:lineRule="auto"/>
        <w:contextualSpacing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Based on the responses received, review the chart below to identify the optimal payment option:</w:t>
      </w:r>
    </w:p>
    <w:p w14:paraId="1F856088" w14:textId="77777777" w:rsidR="0035107A" w:rsidRDefault="0035107A" w:rsidP="0035107A">
      <w:pPr>
        <w:pStyle w:val="ListParagraph"/>
        <w:widowControl/>
        <w:autoSpaceDE/>
        <w:autoSpaceDN/>
        <w:spacing w:before="48" w:line="288" w:lineRule="auto"/>
        <w:ind w:left="994" w:firstLine="0"/>
        <w:contextualSpacing/>
        <w:rPr>
          <w:rFonts w:eastAsia="Times New Roman" w:cs="Calibri"/>
          <w:color w:val="000000"/>
          <w:sz w:val="20"/>
          <w:szCs w:val="20"/>
        </w:rPr>
      </w:pPr>
    </w:p>
    <w:tbl>
      <w:tblPr>
        <w:tblStyle w:val="TableGrid"/>
        <w:tblW w:w="10142" w:type="dxa"/>
        <w:tblInd w:w="274" w:type="dxa"/>
        <w:tblLook w:val="04A0" w:firstRow="1" w:lastRow="0" w:firstColumn="1" w:lastColumn="0" w:noHBand="0" w:noVBand="1"/>
      </w:tblPr>
      <w:tblGrid>
        <w:gridCol w:w="1739"/>
        <w:gridCol w:w="1340"/>
        <w:gridCol w:w="1420"/>
        <w:gridCol w:w="1766"/>
        <w:gridCol w:w="1005"/>
        <w:gridCol w:w="1221"/>
        <w:gridCol w:w="1651"/>
      </w:tblGrid>
      <w:tr w:rsidR="007A4110" w14:paraId="05C2517E" w14:textId="28D102B5" w:rsidTr="007A4110">
        <w:tc>
          <w:tcPr>
            <w:tcW w:w="1739" w:type="dxa"/>
            <w:shd w:val="clear" w:color="auto" w:fill="FFC000"/>
          </w:tcPr>
          <w:p w14:paraId="215AC117" w14:textId="629F1437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</w:t>
            </w:r>
          </w:p>
        </w:tc>
        <w:tc>
          <w:tcPr>
            <w:tcW w:w="1340" w:type="dxa"/>
            <w:shd w:val="clear" w:color="auto" w:fill="FFC000"/>
          </w:tcPr>
          <w:p w14:paraId="31AE460E" w14:textId="04E733AF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 Balance Required</w:t>
            </w:r>
          </w:p>
        </w:tc>
        <w:tc>
          <w:tcPr>
            <w:tcW w:w="1420" w:type="dxa"/>
            <w:shd w:val="clear" w:color="auto" w:fill="FFC000"/>
          </w:tcPr>
          <w:p w14:paraId="11B81000" w14:textId="678F7EA5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</w:t>
            </w:r>
          </w:p>
        </w:tc>
        <w:tc>
          <w:tcPr>
            <w:tcW w:w="1766" w:type="dxa"/>
            <w:shd w:val="clear" w:color="auto" w:fill="FFC000"/>
          </w:tcPr>
          <w:p w14:paraId="0B09E4DE" w14:textId="54342EAB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to Grant Finances</w:t>
            </w:r>
          </w:p>
        </w:tc>
        <w:tc>
          <w:tcPr>
            <w:tcW w:w="1005" w:type="dxa"/>
            <w:shd w:val="clear" w:color="auto" w:fill="FFC000"/>
          </w:tcPr>
          <w:p w14:paraId="6636D59D" w14:textId="48171B77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Effort</w:t>
            </w:r>
          </w:p>
        </w:tc>
        <w:tc>
          <w:tcPr>
            <w:tcW w:w="1221" w:type="dxa"/>
            <w:shd w:val="clear" w:color="auto" w:fill="FFC000"/>
          </w:tcPr>
          <w:p w14:paraId="1D65BBE4" w14:textId="45CE5B66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Risk</w:t>
            </w:r>
          </w:p>
        </w:tc>
        <w:tc>
          <w:tcPr>
            <w:tcW w:w="1651" w:type="dxa"/>
            <w:shd w:val="clear" w:color="auto" w:fill="FFC000"/>
          </w:tcPr>
          <w:p w14:paraId="7561A19B" w14:textId="39E6EE9B" w:rsidR="007A4110" w:rsidRDefault="007A4110" w:rsidP="00951F28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Workday Request Process</w:t>
            </w:r>
          </w:p>
        </w:tc>
      </w:tr>
      <w:tr w:rsidR="007A4110" w:rsidRPr="00733797" w14:paraId="26A0BE76" w14:textId="3D81BEEE" w:rsidTr="007A4110">
        <w:trPr>
          <w:trHeight w:val="604"/>
        </w:trPr>
        <w:tc>
          <w:tcPr>
            <w:tcW w:w="1739" w:type="dxa"/>
          </w:tcPr>
          <w:p w14:paraId="0ABD106A" w14:textId="2F3E64A5" w:rsidR="007A4110" w:rsidRPr="00614632" w:rsidRDefault="007A4110" w:rsidP="00E806CA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Cash Payments</w:t>
            </w:r>
          </w:p>
        </w:tc>
        <w:tc>
          <w:tcPr>
            <w:tcW w:w="1340" w:type="dxa"/>
          </w:tcPr>
          <w:p w14:paraId="122B6A7B" w14:textId="501BFF41" w:rsidR="007A4110" w:rsidRPr="007A4110" w:rsidRDefault="007A4110" w:rsidP="007A4110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7A4110">
              <w:rPr>
                <w:sz w:val="20"/>
                <w:szCs w:val="20"/>
              </w:rPr>
              <w:t xml:space="preserve"> $2,000</w:t>
            </w:r>
          </w:p>
        </w:tc>
        <w:tc>
          <w:tcPr>
            <w:tcW w:w="1420" w:type="dxa"/>
          </w:tcPr>
          <w:p w14:paraId="11C1CD0B" w14:textId="48175B9D" w:rsidR="007A4110" w:rsidRPr="00E806CA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Box</w:t>
            </w:r>
          </w:p>
        </w:tc>
        <w:tc>
          <w:tcPr>
            <w:tcW w:w="1766" w:type="dxa"/>
          </w:tcPr>
          <w:p w14:paraId="60484955" w14:textId="4668B6BF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Encumbrance</w:t>
            </w:r>
          </w:p>
        </w:tc>
        <w:tc>
          <w:tcPr>
            <w:tcW w:w="1005" w:type="dxa"/>
          </w:tcPr>
          <w:p w14:paraId="0A995F00" w14:textId="0921B293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221" w:type="dxa"/>
          </w:tcPr>
          <w:p w14:paraId="258ED4AC" w14:textId="121A1B84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651" w:type="dxa"/>
          </w:tcPr>
          <w:p w14:paraId="3586819C" w14:textId="62E5D0F9" w:rsidR="007A4110" w:rsidRPr="00E806CA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Spend Authorization</w:t>
            </w:r>
          </w:p>
        </w:tc>
      </w:tr>
      <w:tr w:rsidR="007A4110" w14:paraId="3622BFCE" w14:textId="77777777" w:rsidTr="007A4110">
        <w:tc>
          <w:tcPr>
            <w:tcW w:w="1739" w:type="dxa"/>
          </w:tcPr>
          <w:p w14:paraId="07AD5211" w14:textId="77777777" w:rsidR="007A4110" w:rsidRDefault="007A4110" w:rsidP="00E806CA">
            <w:pPr>
              <w:spacing w:before="101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1F320190" w14:textId="1AE2A6DB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&gt;=$2,000</w:t>
            </w:r>
          </w:p>
        </w:tc>
        <w:tc>
          <w:tcPr>
            <w:tcW w:w="1420" w:type="dxa"/>
          </w:tcPr>
          <w:p w14:paraId="09C6355B" w14:textId="3446EB81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</w:t>
            </w:r>
          </w:p>
        </w:tc>
        <w:tc>
          <w:tcPr>
            <w:tcW w:w="1766" w:type="dxa"/>
          </w:tcPr>
          <w:p w14:paraId="2F245F15" w14:textId="5F3240A9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Encumbrance</w:t>
            </w:r>
          </w:p>
        </w:tc>
        <w:tc>
          <w:tcPr>
            <w:tcW w:w="1005" w:type="dxa"/>
          </w:tcPr>
          <w:p w14:paraId="3F9A9AF8" w14:textId="33B56A75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221" w:type="dxa"/>
          </w:tcPr>
          <w:p w14:paraId="4DF4880F" w14:textId="42858CD4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651" w:type="dxa"/>
          </w:tcPr>
          <w:p w14:paraId="5C72AB4E" w14:textId="738199C1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Spend Authorization</w:t>
            </w:r>
          </w:p>
        </w:tc>
      </w:tr>
      <w:tr w:rsidR="007A4110" w14:paraId="56FD6F92" w14:textId="04270CA6" w:rsidTr="007A4110">
        <w:tc>
          <w:tcPr>
            <w:tcW w:w="1739" w:type="dxa"/>
          </w:tcPr>
          <w:p w14:paraId="7FB77D2B" w14:textId="05304F97" w:rsidR="007A4110" w:rsidRPr="00614632" w:rsidRDefault="007A4110" w:rsidP="00E806CA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Gift Cards: Physical</w:t>
            </w:r>
          </w:p>
        </w:tc>
        <w:tc>
          <w:tcPr>
            <w:tcW w:w="1340" w:type="dxa"/>
          </w:tcPr>
          <w:p w14:paraId="3D49E5B0" w14:textId="72B02000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20" w:type="dxa"/>
          </w:tcPr>
          <w:p w14:paraId="69DDECF0" w14:textId="0DD6C0A5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Box</w:t>
            </w:r>
          </w:p>
        </w:tc>
        <w:tc>
          <w:tcPr>
            <w:tcW w:w="1766" w:type="dxa"/>
          </w:tcPr>
          <w:p w14:paraId="0C46F55A" w14:textId="073E97A0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Encumbrance</w:t>
            </w:r>
          </w:p>
        </w:tc>
        <w:tc>
          <w:tcPr>
            <w:tcW w:w="1005" w:type="dxa"/>
          </w:tcPr>
          <w:p w14:paraId="1F91C22F" w14:textId="3A5B7BEA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221" w:type="dxa"/>
          </w:tcPr>
          <w:p w14:paraId="3A8C49F7" w14:textId="626E6817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651" w:type="dxa"/>
          </w:tcPr>
          <w:p w14:paraId="691D0103" w14:textId="085185F2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Spend Authorization</w:t>
            </w:r>
          </w:p>
        </w:tc>
      </w:tr>
      <w:tr w:rsidR="007A4110" w14:paraId="09623DEB" w14:textId="77777777" w:rsidTr="007A4110">
        <w:tc>
          <w:tcPr>
            <w:tcW w:w="1739" w:type="dxa"/>
          </w:tcPr>
          <w:p w14:paraId="3FFEED85" w14:textId="7A3AF037" w:rsidR="007A4110" w:rsidRDefault="007A4110" w:rsidP="00E806CA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Gift Cards: Electronic</w:t>
            </w:r>
          </w:p>
        </w:tc>
        <w:tc>
          <w:tcPr>
            <w:tcW w:w="1340" w:type="dxa"/>
          </w:tcPr>
          <w:p w14:paraId="31EAD1A5" w14:textId="34EEC822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20" w:type="dxa"/>
          </w:tcPr>
          <w:p w14:paraId="49A56509" w14:textId="6FB7C2C6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</w:t>
            </w:r>
            <w:r w:rsidR="0068372F">
              <w:rPr>
                <w:sz w:val="20"/>
                <w:szCs w:val="20"/>
              </w:rPr>
              <w:t>SharePoint</w:t>
            </w:r>
            <w:r>
              <w:rPr>
                <w:sz w:val="20"/>
                <w:szCs w:val="20"/>
              </w:rPr>
              <w:t xml:space="preserve"> or O365 Folder</w:t>
            </w:r>
          </w:p>
        </w:tc>
        <w:tc>
          <w:tcPr>
            <w:tcW w:w="1766" w:type="dxa"/>
          </w:tcPr>
          <w:p w14:paraId="2B9B50A3" w14:textId="7CEE1FAE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 (pre-payment, acceptable due to industry standard)</w:t>
            </w:r>
          </w:p>
        </w:tc>
        <w:tc>
          <w:tcPr>
            <w:tcW w:w="1005" w:type="dxa"/>
          </w:tcPr>
          <w:p w14:paraId="06F5FF51" w14:textId="636274B7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221" w:type="dxa"/>
          </w:tcPr>
          <w:p w14:paraId="61CDE717" w14:textId="4C0B2B31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651" w:type="dxa"/>
          </w:tcPr>
          <w:p w14:paraId="187987FA" w14:textId="4B926CBC" w:rsidR="007A4110" w:rsidRDefault="007A4110" w:rsidP="00E806CA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Requisition for Gift Card (NGC</w:t>
            </w:r>
            <w:r w:rsidR="0070045F">
              <w:rPr>
                <w:sz w:val="20"/>
                <w:szCs w:val="20"/>
              </w:rPr>
              <w:t xml:space="preserve">, </w:t>
            </w:r>
            <w:proofErr w:type="spellStart"/>
            <w:r w:rsidR="0070045F">
              <w:rPr>
                <w:sz w:val="20"/>
                <w:szCs w:val="20"/>
              </w:rPr>
              <w:t>TangoCard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5AC3167C" w14:textId="51C8A528" w:rsidR="0035107A" w:rsidRDefault="0035107A" w:rsidP="007A4110">
      <w:pPr>
        <w:rPr>
          <w:rFonts w:eastAsia="Times New Roman" w:cs="Calibri"/>
          <w:color w:val="000000"/>
          <w:sz w:val="20"/>
          <w:szCs w:val="20"/>
        </w:rPr>
      </w:pPr>
    </w:p>
    <w:p w14:paraId="1974C63A" w14:textId="1EED9E4C" w:rsidR="00352D64" w:rsidRDefault="00352D64" w:rsidP="00352D64">
      <w:pPr>
        <w:pStyle w:val="ListParagraph"/>
        <w:numPr>
          <w:ilvl w:val="0"/>
          <w:numId w:val="4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Discuss the chosen method with the PI and that the following information must be collected during the human subject research:</w:t>
      </w:r>
    </w:p>
    <w:p w14:paraId="1CDE9F7B" w14:textId="11E0DB3D" w:rsidR="00352D64" w:rsidRDefault="00352D64" w:rsidP="00352D64">
      <w:pPr>
        <w:pStyle w:val="ListParagraph"/>
        <w:numPr>
          <w:ilvl w:val="1"/>
          <w:numId w:val="4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Completed Human Subject Log with the appropriate tab filled out based </w:t>
      </w:r>
      <w:r w:rsidR="00567635">
        <w:rPr>
          <w:rFonts w:eastAsia="Times New Roman" w:cs="Calibri"/>
          <w:color w:val="000000"/>
          <w:sz w:val="20"/>
          <w:szCs w:val="20"/>
        </w:rPr>
        <w:t>on whether the subjects are to remain confidential</w:t>
      </w:r>
    </w:p>
    <w:p w14:paraId="13E279D5" w14:textId="0ECCE976" w:rsidR="00567635" w:rsidRPr="00567635" w:rsidRDefault="00567635" w:rsidP="00567635">
      <w:pPr>
        <w:pStyle w:val="ListParagraph"/>
        <w:numPr>
          <w:ilvl w:val="2"/>
          <w:numId w:val="4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i/>
          <w:iCs/>
          <w:color w:val="000000"/>
          <w:sz w:val="20"/>
          <w:szCs w:val="20"/>
        </w:rPr>
        <w:t>Departments may modify this log to best suit the needs of their faculty/projects</w:t>
      </w:r>
    </w:p>
    <w:p w14:paraId="6624FCED" w14:textId="4996EDD8" w:rsidR="00567635" w:rsidRDefault="00567635" w:rsidP="00567635">
      <w:pPr>
        <w:pStyle w:val="ListParagraph"/>
        <w:numPr>
          <w:ilvl w:val="1"/>
          <w:numId w:val="4"/>
        </w:num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All receipts to support expenses</w:t>
      </w:r>
    </w:p>
    <w:p w14:paraId="3E2F56C7" w14:textId="51A4C12F" w:rsidR="00567635" w:rsidRDefault="00567635" w:rsidP="00567635">
      <w:pPr>
        <w:rPr>
          <w:rFonts w:eastAsia="Times New Roman" w:cs="Calibri"/>
          <w:color w:val="000000"/>
          <w:sz w:val="20"/>
          <w:szCs w:val="20"/>
        </w:rPr>
      </w:pPr>
    </w:p>
    <w:p w14:paraId="3893FB52" w14:textId="201D4B10" w:rsidR="00387BB7" w:rsidRDefault="00387BB7" w:rsidP="00567635">
      <w:pPr>
        <w:rPr>
          <w:rFonts w:eastAsia="Times New Roman" w:cs="Calibri"/>
          <w:color w:val="000000"/>
          <w:sz w:val="20"/>
          <w:szCs w:val="20"/>
        </w:rPr>
      </w:pPr>
    </w:p>
    <w:p w14:paraId="1ED56939" w14:textId="7C328353" w:rsidR="00387BB7" w:rsidRDefault="00387BB7" w:rsidP="00567635">
      <w:pPr>
        <w:rPr>
          <w:rFonts w:eastAsia="Times New Roman" w:cs="Calibri"/>
          <w:color w:val="000000"/>
          <w:sz w:val="20"/>
          <w:szCs w:val="20"/>
        </w:rPr>
      </w:pPr>
    </w:p>
    <w:p w14:paraId="38E4FC44" w14:textId="43AE92F2" w:rsidR="00387BB7" w:rsidRDefault="00387BB7" w:rsidP="00567635">
      <w:pPr>
        <w:rPr>
          <w:rFonts w:eastAsia="Times New Roman" w:cs="Calibri"/>
          <w:color w:val="000000"/>
          <w:sz w:val="20"/>
          <w:szCs w:val="20"/>
        </w:rPr>
      </w:pPr>
    </w:p>
    <w:p w14:paraId="1B482A61" w14:textId="3A8E8442" w:rsidR="00387BB7" w:rsidRDefault="00387BB7" w:rsidP="00567635">
      <w:pPr>
        <w:rPr>
          <w:rFonts w:eastAsia="Times New Roman" w:cs="Calibri"/>
          <w:color w:val="000000"/>
          <w:sz w:val="20"/>
          <w:szCs w:val="20"/>
        </w:rPr>
      </w:pPr>
    </w:p>
    <w:p w14:paraId="0874BA96" w14:textId="0126C178" w:rsidR="00387BB7" w:rsidRDefault="00387BB7" w:rsidP="00567635">
      <w:pPr>
        <w:rPr>
          <w:rFonts w:eastAsia="Times New Roman" w:cs="Calibri"/>
          <w:color w:val="000000"/>
          <w:sz w:val="20"/>
          <w:szCs w:val="20"/>
        </w:rPr>
      </w:pPr>
    </w:p>
    <w:p w14:paraId="46D8DC2E" w14:textId="77777777" w:rsidR="00387BB7" w:rsidRDefault="00387BB7" w:rsidP="00567635">
      <w:pPr>
        <w:rPr>
          <w:rFonts w:eastAsia="Times New Roman" w:cs="Calibri"/>
          <w:color w:val="000000"/>
          <w:sz w:val="20"/>
          <w:szCs w:val="20"/>
        </w:rPr>
      </w:pPr>
    </w:p>
    <w:p w14:paraId="43E18946" w14:textId="16D1DAFD" w:rsidR="00567635" w:rsidRDefault="00567635" w:rsidP="00567635">
      <w:pPr>
        <w:rPr>
          <w:rFonts w:eastAsia="Times New Roman" w:cs="Calibri"/>
          <w:color w:val="000000"/>
          <w:sz w:val="20"/>
          <w:szCs w:val="20"/>
        </w:rPr>
      </w:pPr>
    </w:p>
    <w:p w14:paraId="22697A58" w14:textId="06D54E65" w:rsidR="00387BB7" w:rsidRDefault="00387BB7" w:rsidP="00387BB7">
      <w:pPr>
        <w:spacing w:before="101" w:after="120"/>
        <w:ind w:firstLine="360"/>
        <w:jc w:val="both"/>
        <w:rPr>
          <w:b/>
        </w:rPr>
      </w:pPr>
      <w:r>
        <w:rPr>
          <w:b/>
        </w:rPr>
        <w:t>REQUESTING PAYMENT METHOD</w:t>
      </w:r>
    </w:p>
    <w:p w14:paraId="79F40DE0" w14:textId="22C53380" w:rsidR="00387BB7" w:rsidRDefault="00387BB7" w:rsidP="00387BB7">
      <w:pPr>
        <w:ind w:left="360"/>
        <w:rPr>
          <w:rFonts w:eastAsia="Times New Roman" w:cs="Calibri"/>
          <w:color w:val="000000"/>
          <w:sz w:val="20"/>
          <w:szCs w:val="20"/>
        </w:rPr>
      </w:pPr>
    </w:p>
    <w:tbl>
      <w:tblPr>
        <w:tblStyle w:val="TableGrid"/>
        <w:tblW w:w="10274" w:type="dxa"/>
        <w:tblInd w:w="274" w:type="dxa"/>
        <w:tblLook w:val="04A0" w:firstRow="1" w:lastRow="0" w:firstColumn="1" w:lastColumn="0" w:noHBand="0" w:noVBand="1"/>
      </w:tblPr>
      <w:tblGrid>
        <w:gridCol w:w="2264"/>
        <w:gridCol w:w="3150"/>
        <w:gridCol w:w="4860"/>
      </w:tblGrid>
      <w:tr w:rsidR="005F4ECA" w14:paraId="2AA4BE97" w14:textId="26A2EA45" w:rsidTr="00A456DE">
        <w:tc>
          <w:tcPr>
            <w:tcW w:w="2264" w:type="dxa"/>
            <w:shd w:val="clear" w:color="auto" w:fill="FFC000"/>
          </w:tcPr>
          <w:p w14:paraId="2682D8A0" w14:textId="77777777" w:rsidR="005F4ECA" w:rsidRDefault="005F4ECA" w:rsidP="00387BB7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</w:t>
            </w:r>
          </w:p>
        </w:tc>
        <w:tc>
          <w:tcPr>
            <w:tcW w:w="3150" w:type="dxa"/>
            <w:shd w:val="clear" w:color="auto" w:fill="FFC000"/>
          </w:tcPr>
          <w:p w14:paraId="04BD3BF0" w14:textId="59063F82" w:rsidR="005F4ECA" w:rsidRDefault="005F4ECA" w:rsidP="00387BB7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Instructions</w:t>
            </w:r>
          </w:p>
        </w:tc>
        <w:tc>
          <w:tcPr>
            <w:tcW w:w="4860" w:type="dxa"/>
            <w:shd w:val="clear" w:color="auto" w:fill="FFC000"/>
          </w:tcPr>
          <w:p w14:paraId="53022531" w14:textId="36A83994" w:rsidR="005F4ECA" w:rsidRDefault="005F4ECA" w:rsidP="00387BB7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5F4ECA" w:rsidRPr="00733797" w14:paraId="65F55515" w14:textId="1459B79F" w:rsidTr="00A456DE">
        <w:trPr>
          <w:trHeight w:val="604"/>
        </w:trPr>
        <w:tc>
          <w:tcPr>
            <w:tcW w:w="2264" w:type="dxa"/>
          </w:tcPr>
          <w:p w14:paraId="0D30838C" w14:textId="32FC70CF" w:rsidR="005F4ECA" w:rsidRPr="00614632" w:rsidRDefault="005F4ECA" w:rsidP="00387BB7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Cash Payments</w:t>
            </w:r>
            <w:r w:rsidR="00A456DE">
              <w:rPr>
                <w:b/>
                <w:bCs/>
                <w:sz w:val="20"/>
                <w:szCs w:val="20"/>
              </w:rPr>
              <w:t xml:space="preserve"> (used to provide cash</w:t>
            </w:r>
            <w:r w:rsidR="00851227">
              <w:rPr>
                <w:b/>
                <w:bCs/>
                <w:sz w:val="20"/>
                <w:szCs w:val="20"/>
              </w:rPr>
              <w:t xml:space="preserve"> or </w:t>
            </w:r>
            <w:r w:rsidR="00A456DE">
              <w:rPr>
                <w:b/>
                <w:bCs/>
                <w:sz w:val="20"/>
                <w:szCs w:val="20"/>
              </w:rPr>
              <w:t>physical gift cards)</w:t>
            </w:r>
          </w:p>
        </w:tc>
        <w:tc>
          <w:tcPr>
            <w:tcW w:w="3150" w:type="dxa"/>
          </w:tcPr>
          <w:p w14:paraId="1933396D" w14:textId="4B05C03D" w:rsidR="005F4ECA" w:rsidRPr="007A4110" w:rsidRDefault="005F4ECA" w:rsidP="00387BB7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Workday &gt; Work Instructions and Information: Create Spend Authorization</w:t>
            </w:r>
          </w:p>
        </w:tc>
        <w:tc>
          <w:tcPr>
            <w:tcW w:w="4860" w:type="dxa"/>
          </w:tcPr>
          <w:p w14:paraId="5FBB65EF" w14:textId="608C054F" w:rsidR="005F4ECA" w:rsidRPr="00851257" w:rsidRDefault="005F4ECA" w:rsidP="00851257">
            <w:pPr>
              <w:rPr>
                <w:b/>
                <w:bCs/>
                <w:sz w:val="20"/>
                <w:szCs w:val="20"/>
              </w:rPr>
            </w:pPr>
            <w:r w:rsidRPr="00851257">
              <w:rPr>
                <w:b/>
                <w:bCs/>
                <w:sz w:val="20"/>
                <w:szCs w:val="20"/>
              </w:rPr>
              <w:t>Information – Description</w:t>
            </w:r>
          </w:p>
          <w:p w14:paraId="7CC72BC3" w14:textId="6D882C0A" w:rsidR="005F4ECA" w:rsidRDefault="005F4ECA" w:rsidP="00851257">
            <w:pPr>
              <w:rPr>
                <w:sz w:val="20"/>
                <w:szCs w:val="20"/>
              </w:rPr>
            </w:pPr>
            <w:r w:rsidRPr="00851257">
              <w:rPr>
                <w:i/>
                <w:iCs/>
                <w:sz w:val="20"/>
                <w:szCs w:val="20"/>
              </w:rPr>
              <w:t>The study is approved by ASU IRB# STUDY########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851257">
              <w:rPr>
                <w:b/>
                <w:bCs/>
                <w:sz w:val="20"/>
                <w:szCs w:val="20"/>
              </w:rPr>
              <w:t>Details – Justification</w:t>
            </w:r>
          </w:p>
          <w:p w14:paraId="4A2D8A48" w14:textId="2290F68D" w:rsidR="005F4ECA" w:rsidRDefault="005F4ECA" w:rsidP="00851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Enter the business purpose</w:t>
            </w:r>
          </w:p>
          <w:p w14:paraId="2E4F31BA" w14:textId="2F337062" w:rsidR="005F4ECA" w:rsidRDefault="005F4ECA" w:rsidP="00851257">
            <w:pPr>
              <w:rPr>
                <w:i/>
                <w:iCs/>
                <w:sz w:val="20"/>
                <w:szCs w:val="20"/>
              </w:rPr>
            </w:pPr>
          </w:p>
          <w:p w14:paraId="50E61B0A" w14:textId="6A5AD6A1" w:rsidR="005F4ECA" w:rsidRDefault="005F4ECA" w:rsidP="00285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fully approved, the custodian will receive the funds through direct deposit.</w:t>
            </w:r>
          </w:p>
        </w:tc>
      </w:tr>
      <w:tr w:rsidR="005F4ECA" w14:paraId="3D0DEB8E" w14:textId="26A82507" w:rsidTr="00A456DE">
        <w:tc>
          <w:tcPr>
            <w:tcW w:w="2264" w:type="dxa"/>
          </w:tcPr>
          <w:p w14:paraId="0FCE00B1" w14:textId="6E9DDCEB" w:rsidR="005F4ECA" w:rsidRDefault="005F4ECA" w:rsidP="00387BB7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Account Storage</w:t>
            </w:r>
          </w:p>
        </w:tc>
        <w:tc>
          <w:tcPr>
            <w:tcW w:w="3150" w:type="dxa"/>
          </w:tcPr>
          <w:p w14:paraId="6CFD35A7" w14:textId="4CF22E23" w:rsidR="005F4ECA" w:rsidRDefault="00F138BD" w:rsidP="00387BB7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Accounting Manager of Student Business Services - Treasury</w:t>
            </w:r>
          </w:p>
        </w:tc>
        <w:tc>
          <w:tcPr>
            <w:tcW w:w="4860" w:type="dxa"/>
          </w:tcPr>
          <w:p w14:paraId="066B76A8" w14:textId="543A6DFE" w:rsidR="00F138BD" w:rsidRDefault="00F138BD" w:rsidP="00F138BD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 will be opened in ASU’s Name</w:t>
            </w:r>
            <w:r w:rsidR="00A456DE">
              <w:rPr>
                <w:sz w:val="20"/>
                <w:szCs w:val="20"/>
              </w:rPr>
              <w:t>/Tax ID</w:t>
            </w:r>
            <w:r>
              <w:rPr>
                <w:sz w:val="20"/>
                <w:szCs w:val="20"/>
              </w:rPr>
              <w:t xml:space="preserve"> with the name of research study</w:t>
            </w:r>
            <w:r w:rsidR="00A456DE">
              <w:rPr>
                <w:sz w:val="20"/>
                <w:szCs w:val="20"/>
              </w:rPr>
              <w:t xml:space="preserve"> through Bank of America</w:t>
            </w:r>
          </w:p>
          <w:p w14:paraId="225180F4" w14:textId="77777777" w:rsidR="00F138BD" w:rsidRDefault="00F138BD" w:rsidP="00F138BD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custodian will be a check signer and authorized on the bank account</w:t>
            </w:r>
          </w:p>
          <w:p w14:paraId="1BA14195" w14:textId="41DD415D" w:rsidR="005F4ECA" w:rsidRPr="00851227" w:rsidRDefault="00851227" w:rsidP="00A456DE">
            <w:pPr>
              <w:spacing w:before="101" w:after="120"/>
              <w:rPr>
                <w:i/>
                <w:iCs/>
                <w:sz w:val="20"/>
                <w:szCs w:val="20"/>
              </w:rPr>
            </w:pPr>
            <w:r w:rsidRPr="00851227">
              <w:rPr>
                <w:i/>
                <w:iCs/>
                <w:sz w:val="20"/>
                <w:szCs w:val="20"/>
              </w:rPr>
              <w:t xml:space="preserve">Note that ASU does not have the infrastructure necessary to establish a business PayPal, </w:t>
            </w:r>
            <w:proofErr w:type="spellStart"/>
            <w:r w:rsidRPr="00851227">
              <w:rPr>
                <w:i/>
                <w:iCs/>
                <w:sz w:val="20"/>
                <w:szCs w:val="20"/>
              </w:rPr>
              <w:t>Zelle</w:t>
            </w:r>
            <w:proofErr w:type="spellEnd"/>
            <w:r w:rsidRPr="00851227">
              <w:rPr>
                <w:i/>
                <w:iCs/>
                <w:sz w:val="20"/>
                <w:szCs w:val="20"/>
              </w:rPr>
              <w:t xml:space="preserve"> or Venmo account to link to an ASU bank account.</w:t>
            </w:r>
          </w:p>
        </w:tc>
      </w:tr>
      <w:tr w:rsidR="00A456DE" w14:paraId="4F2A4C8F" w14:textId="4A9F5582" w:rsidTr="00A456DE">
        <w:tc>
          <w:tcPr>
            <w:tcW w:w="2264" w:type="dxa"/>
          </w:tcPr>
          <w:p w14:paraId="19190575" w14:textId="77777777" w:rsidR="00A456DE" w:rsidRDefault="00A456DE" w:rsidP="00A456DE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Gift Cards: Electronic</w:t>
            </w:r>
          </w:p>
        </w:tc>
        <w:tc>
          <w:tcPr>
            <w:tcW w:w="3150" w:type="dxa"/>
          </w:tcPr>
          <w:p w14:paraId="487272C6" w14:textId="77777777" w:rsidR="00A456DE" w:rsidRDefault="00A456DE" w:rsidP="00A456DE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Workday &gt; Work Instructions and Information: </w:t>
            </w:r>
            <w:r w:rsidRPr="00A456DE">
              <w:rPr>
                <w:sz w:val="20"/>
                <w:szCs w:val="20"/>
              </w:rPr>
              <w:t>Create a Gift Card Requisition</w:t>
            </w:r>
          </w:p>
          <w:p w14:paraId="399670C3" w14:textId="77777777" w:rsidR="00A456DE" w:rsidRDefault="00A456DE" w:rsidP="00A456DE">
            <w:pPr>
              <w:spacing w:before="101" w:after="120"/>
              <w:rPr>
                <w:sz w:val="20"/>
                <w:szCs w:val="20"/>
              </w:rPr>
            </w:pPr>
          </w:p>
          <w:p w14:paraId="6FF3094E" w14:textId="1B6FE9F5" w:rsidR="00A456DE" w:rsidRDefault="00A456DE" w:rsidP="00A456DE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Workday &gt; Work Instructions and Information: </w:t>
            </w:r>
            <w:r w:rsidRPr="00A456DE">
              <w:rPr>
                <w:sz w:val="20"/>
                <w:szCs w:val="20"/>
              </w:rPr>
              <w:t>Gift Card Questionnaire</w:t>
            </w:r>
          </w:p>
        </w:tc>
        <w:tc>
          <w:tcPr>
            <w:tcW w:w="4860" w:type="dxa"/>
          </w:tcPr>
          <w:p w14:paraId="5B881767" w14:textId="77777777" w:rsidR="00DB3A04" w:rsidRDefault="00DB3A04" w:rsidP="00A456DE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ORSPA has approved the purchase of gift cards via WD requisition (which results in an expense being charged to the grant vs. an encumbrance) </w:t>
            </w:r>
            <w:r w:rsidRPr="00DB3A04">
              <w:rPr>
                <w:sz w:val="20"/>
                <w:szCs w:val="20"/>
              </w:rPr>
              <w:t xml:space="preserve">before the list of participants is known. </w:t>
            </w:r>
          </w:p>
          <w:p w14:paraId="5DA04354" w14:textId="7EA70F98" w:rsidR="00A456DE" w:rsidRDefault="00DB3A04" w:rsidP="00A456DE">
            <w:pPr>
              <w:spacing w:before="101" w:after="120"/>
              <w:rPr>
                <w:sz w:val="20"/>
                <w:szCs w:val="20"/>
              </w:rPr>
            </w:pPr>
            <w:r w:rsidRPr="00DB3A04">
              <w:rPr>
                <w:sz w:val="20"/>
                <w:szCs w:val="20"/>
              </w:rPr>
              <w:t xml:space="preserve">The expectation is that the # of gift card purchases per order </w:t>
            </w:r>
            <w:r>
              <w:rPr>
                <w:sz w:val="20"/>
                <w:szCs w:val="20"/>
              </w:rPr>
              <w:t>are</w:t>
            </w:r>
            <w:r w:rsidRPr="00DB3A04">
              <w:rPr>
                <w:sz w:val="20"/>
                <w:szCs w:val="20"/>
              </w:rPr>
              <w:t xml:space="preserve"> small enough such that they will be distributed soon after purchase (but no later than 3 months after purchase).</w:t>
            </w:r>
          </w:p>
        </w:tc>
      </w:tr>
    </w:tbl>
    <w:p w14:paraId="02558959" w14:textId="77777777" w:rsidR="00387BB7" w:rsidRDefault="00387BB7" w:rsidP="00387BB7">
      <w:pPr>
        <w:ind w:left="360"/>
        <w:rPr>
          <w:rFonts w:eastAsia="Times New Roman" w:cs="Calibri"/>
          <w:color w:val="000000"/>
          <w:sz w:val="20"/>
          <w:szCs w:val="20"/>
        </w:rPr>
      </w:pPr>
    </w:p>
    <w:p w14:paraId="42697346" w14:textId="77777777" w:rsidR="0070045F" w:rsidRPr="0070045F" w:rsidRDefault="0070045F" w:rsidP="0070045F">
      <w:pPr>
        <w:ind w:left="360"/>
        <w:rPr>
          <w:rFonts w:eastAsia="Times New Roman" w:cs="Calibri"/>
          <w:color w:val="000000"/>
          <w:sz w:val="20"/>
          <w:szCs w:val="20"/>
        </w:rPr>
      </w:pPr>
      <w:r w:rsidRPr="0070045F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 xml:space="preserve">**Note that ASU does not have the infrastructure to successfully link PayPal, Venmo, </w:t>
      </w:r>
      <w:proofErr w:type="spellStart"/>
      <w:r w:rsidRPr="0070045F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>Zelle</w:t>
      </w:r>
      <w:proofErr w:type="spellEnd"/>
      <w:r w:rsidRPr="0070045F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>, etc., profiles to ASU bank accounts. Using these types of payment providers for subject pay is highly discouraged at this time.</w:t>
      </w:r>
    </w:p>
    <w:p w14:paraId="73388068" w14:textId="1ED0D76D" w:rsidR="00323783" w:rsidRDefault="00323783" w:rsidP="00323783">
      <w:pPr>
        <w:pStyle w:val="ListParagraph"/>
        <w:ind w:left="994" w:firstLine="0"/>
        <w:rPr>
          <w:rFonts w:eastAsia="Times New Roman" w:cs="Calibri"/>
          <w:color w:val="000000"/>
          <w:sz w:val="20"/>
          <w:szCs w:val="20"/>
        </w:rPr>
      </w:pPr>
    </w:p>
    <w:p w14:paraId="04B3BB86" w14:textId="75956CE8" w:rsidR="00323783" w:rsidRDefault="00323783" w:rsidP="00323783">
      <w:pPr>
        <w:spacing w:before="101" w:after="120"/>
        <w:ind w:firstLine="360"/>
        <w:jc w:val="both"/>
        <w:rPr>
          <w:b/>
        </w:rPr>
      </w:pPr>
      <w:r>
        <w:rPr>
          <w:b/>
        </w:rPr>
        <w:t>TRACKING PAYMENTS</w:t>
      </w:r>
    </w:p>
    <w:p w14:paraId="70F6CACD" w14:textId="0FEB08E6" w:rsidR="00323783" w:rsidRPr="00285806" w:rsidRDefault="00323783" w:rsidP="00085F45">
      <w:pPr>
        <w:pStyle w:val="ListParagraph"/>
        <w:widowControl/>
        <w:numPr>
          <w:ilvl w:val="0"/>
          <w:numId w:val="16"/>
        </w:numPr>
        <w:autoSpaceDE/>
        <w:autoSpaceDN/>
        <w:spacing w:before="48" w:line="288" w:lineRule="auto"/>
        <w:contextualSpacing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</w:rPr>
        <w:t xml:space="preserve">A log is required to identify the date and amount of subject payments. </w:t>
      </w:r>
      <w:r w:rsidR="00085F45">
        <w:rPr>
          <w:rFonts w:eastAsia="Times New Roman" w:cs="Calibri"/>
          <w:color w:val="000000" w:themeColor="text1"/>
          <w:sz w:val="20"/>
          <w:szCs w:val="20"/>
        </w:rPr>
        <w:t>The “Human Subject Log” template provides a log for both confidential and non-confidential participants. This template may be modified to best serve department, faculty and project needs.</w:t>
      </w:r>
    </w:p>
    <w:p w14:paraId="46C119D9" w14:textId="14210C1A" w:rsidR="00285806" w:rsidRPr="00285806" w:rsidRDefault="00285806" w:rsidP="00085F45">
      <w:pPr>
        <w:pStyle w:val="ListParagraph"/>
        <w:widowControl/>
        <w:numPr>
          <w:ilvl w:val="0"/>
          <w:numId w:val="16"/>
        </w:numPr>
        <w:autoSpaceDE/>
        <w:autoSpaceDN/>
        <w:spacing w:before="48" w:line="288" w:lineRule="auto"/>
        <w:contextualSpacing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</w:rPr>
        <w:t>Any receipts generated through this process must be retained</w:t>
      </w:r>
    </w:p>
    <w:p w14:paraId="17762ED4" w14:textId="1E38ECBD" w:rsidR="00285806" w:rsidRDefault="00285806" w:rsidP="00285806">
      <w:pPr>
        <w:widowControl/>
        <w:autoSpaceDE/>
        <w:autoSpaceDN/>
        <w:spacing w:before="48" w:line="288" w:lineRule="auto"/>
        <w:contextualSpacing/>
        <w:rPr>
          <w:rFonts w:eastAsia="Times New Roman" w:cs="Calibri"/>
          <w:color w:val="000000"/>
          <w:sz w:val="20"/>
          <w:szCs w:val="20"/>
        </w:rPr>
      </w:pPr>
    </w:p>
    <w:p w14:paraId="5E4117E3" w14:textId="744B9DE5" w:rsidR="00285806" w:rsidRDefault="00285806" w:rsidP="00285806">
      <w:pPr>
        <w:spacing w:before="101" w:after="120"/>
        <w:ind w:firstLine="360"/>
        <w:jc w:val="both"/>
        <w:rPr>
          <w:b/>
        </w:rPr>
      </w:pPr>
      <w:r>
        <w:rPr>
          <w:b/>
        </w:rPr>
        <w:t xml:space="preserve">CLOSING </w:t>
      </w:r>
      <w:r w:rsidR="00DB3A04">
        <w:rPr>
          <w:b/>
        </w:rPr>
        <w:t xml:space="preserve">SUBJECT </w:t>
      </w:r>
      <w:r>
        <w:rPr>
          <w:b/>
        </w:rPr>
        <w:t>PAYMENT</w:t>
      </w:r>
      <w:r w:rsidR="00DB3A04">
        <w:rPr>
          <w:b/>
        </w:rPr>
        <w:t>S</w:t>
      </w:r>
    </w:p>
    <w:p w14:paraId="13F53ED3" w14:textId="593A1239" w:rsidR="00DB3A04" w:rsidRDefault="00DB3A04" w:rsidP="00285806">
      <w:pPr>
        <w:spacing w:before="101" w:after="120"/>
        <w:ind w:firstLine="360"/>
        <w:jc w:val="both"/>
        <w:rPr>
          <w:b/>
        </w:rPr>
      </w:pPr>
      <w:r>
        <w:rPr>
          <w:b/>
        </w:rPr>
        <w:t>Next steps are dependent on how the payments were funded:</w:t>
      </w:r>
    </w:p>
    <w:p w14:paraId="040FEB28" w14:textId="71BD0B76" w:rsidR="00DB3A04" w:rsidRDefault="00DB3A04" w:rsidP="00285806">
      <w:pPr>
        <w:spacing w:before="101" w:after="120"/>
        <w:ind w:firstLine="360"/>
        <w:jc w:val="both"/>
        <w:rPr>
          <w:b/>
        </w:rPr>
      </w:pPr>
    </w:p>
    <w:p w14:paraId="7C6D94F7" w14:textId="77777777" w:rsidR="00DB3A04" w:rsidRDefault="00DB3A04" w:rsidP="00285806">
      <w:pPr>
        <w:spacing w:before="101" w:after="120"/>
        <w:ind w:firstLine="360"/>
        <w:jc w:val="both"/>
        <w:rPr>
          <w:b/>
        </w:rPr>
      </w:pPr>
    </w:p>
    <w:p w14:paraId="5FA397D3" w14:textId="77777777" w:rsidR="00323783" w:rsidRDefault="00323783" w:rsidP="00323783">
      <w:pPr>
        <w:pStyle w:val="ListParagraph"/>
        <w:ind w:left="994" w:firstLine="0"/>
        <w:rPr>
          <w:rFonts w:eastAsia="Times New Roman" w:cs="Calibri"/>
          <w:color w:val="000000"/>
          <w:sz w:val="20"/>
          <w:szCs w:val="20"/>
        </w:rPr>
      </w:pPr>
    </w:p>
    <w:p w14:paraId="1E3CD555" w14:textId="77777777" w:rsidR="00323783" w:rsidRDefault="00323783" w:rsidP="00323783">
      <w:pPr>
        <w:pStyle w:val="ListParagraph"/>
        <w:ind w:left="994" w:firstLine="0"/>
        <w:rPr>
          <w:rFonts w:eastAsia="Times New Roman" w:cs="Calibri"/>
          <w:color w:val="000000"/>
          <w:sz w:val="20"/>
          <w:szCs w:val="20"/>
        </w:rPr>
      </w:pPr>
    </w:p>
    <w:tbl>
      <w:tblPr>
        <w:tblStyle w:val="TableGrid"/>
        <w:tblW w:w="10274" w:type="dxa"/>
        <w:tblInd w:w="274" w:type="dxa"/>
        <w:tblLook w:val="04A0" w:firstRow="1" w:lastRow="0" w:firstColumn="1" w:lastColumn="0" w:noHBand="0" w:noVBand="1"/>
      </w:tblPr>
      <w:tblGrid>
        <w:gridCol w:w="2264"/>
        <w:gridCol w:w="3150"/>
        <w:gridCol w:w="4860"/>
      </w:tblGrid>
      <w:tr w:rsidR="00DB3A04" w14:paraId="18E2A845" w14:textId="77777777" w:rsidTr="00CE0DA1">
        <w:tc>
          <w:tcPr>
            <w:tcW w:w="2264" w:type="dxa"/>
            <w:shd w:val="clear" w:color="auto" w:fill="FFC000"/>
          </w:tcPr>
          <w:p w14:paraId="460B970D" w14:textId="77777777" w:rsidR="00DB3A04" w:rsidRDefault="00DB3A04" w:rsidP="00CE0DA1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</w:t>
            </w:r>
          </w:p>
        </w:tc>
        <w:tc>
          <w:tcPr>
            <w:tcW w:w="3150" w:type="dxa"/>
            <w:shd w:val="clear" w:color="auto" w:fill="FFC000"/>
          </w:tcPr>
          <w:p w14:paraId="45AEAC22" w14:textId="77777777" w:rsidR="00DB3A04" w:rsidRDefault="00DB3A04" w:rsidP="00CE0DA1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Instructions</w:t>
            </w:r>
          </w:p>
        </w:tc>
        <w:tc>
          <w:tcPr>
            <w:tcW w:w="4860" w:type="dxa"/>
            <w:shd w:val="clear" w:color="auto" w:fill="FFC000"/>
          </w:tcPr>
          <w:p w14:paraId="590E6918" w14:textId="77777777" w:rsidR="00DB3A04" w:rsidRDefault="00DB3A04" w:rsidP="00CE0DA1">
            <w:pPr>
              <w:spacing w:before="101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DB3A04" w:rsidRPr="00733797" w14:paraId="7F0FEA45" w14:textId="77777777" w:rsidTr="00CE0DA1">
        <w:trPr>
          <w:trHeight w:val="604"/>
        </w:trPr>
        <w:tc>
          <w:tcPr>
            <w:tcW w:w="2264" w:type="dxa"/>
          </w:tcPr>
          <w:p w14:paraId="4A5E1DC8" w14:textId="291C5578" w:rsidR="00DB3A04" w:rsidRPr="00614632" w:rsidRDefault="00DB3A04" w:rsidP="00CE0DA1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Cash Payments (used to provide cash</w:t>
            </w:r>
            <w:r w:rsidR="00851227">
              <w:rPr>
                <w:b/>
                <w:bCs/>
                <w:sz w:val="20"/>
                <w:szCs w:val="20"/>
              </w:rPr>
              <w:t xml:space="preserve"> or</w:t>
            </w:r>
            <w:r>
              <w:rPr>
                <w:b/>
                <w:bCs/>
                <w:sz w:val="20"/>
                <w:szCs w:val="20"/>
              </w:rPr>
              <w:t xml:space="preserve"> physical gift cards)</w:t>
            </w:r>
          </w:p>
        </w:tc>
        <w:tc>
          <w:tcPr>
            <w:tcW w:w="3150" w:type="dxa"/>
          </w:tcPr>
          <w:p w14:paraId="17A95CC6" w14:textId="2E07C3CB" w:rsidR="00DB3A04" w:rsidRPr="007A4110" w:rsidRDefault="00DB3A04" w:rsidP="00CE0DA1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Workday &gt; Work Instructions and Information: </w:t>
            </w:r>
            <w:r w:rsidRPr="008F2076">
              <w:rPr>
                <w:rFonts w:eastAsia="Times New Roman" w:cs="Calibri"/>
                <w:color w:val="000000"/>
                <w:sz w:val="20"/>
                <w:szCs w:val="20"/>
              </w:rPr>
              <w:t>Create Expense Report for Spend Authorization Cash Advance</w:t>
            </w:r>
          </w:p>
        </w:tc>
        <w:tc>
          <w:tcPr>
            <w:tcW w:w="4860" w:type="dxa"/>
          </w:tcPr>
          <w:p w14:paraId="62735EFD" w14:textId="7EA839AE" w:rsidR="00DB3A04" w:rsidRPr="0068372F" w:rsidRDefault="0068372F" w:rsidP="00CE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instructions include the process to expense any distributed payments as well as how to issue a refund to ASU for any unused cash or cash equivalents.</w:t>
            </w:r>
          </w:p>
        </w:tc>
      </w:tr>
      <w:tr w:rsidR="00DB3A04" w14:paraId="5AB13345" w14:textId="77777777" w:rsidTr="00CE0DA1">
        <w:tc>
          <w:tcPr>
            <w:tcW w:w="2264" w:type="dxa"/>
          </w:tcPr>
          <w:p w14:paraId="209B5B85" w14:textId="7D63A6DE" w:rsidR="00DB3A04" w:rsidRDefault="00DB3A04" w:rsidP="00CE0DA1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Bank Account </w:t>
            </w:r>
            <w:r w:rsidR="0068372F">
              <w:rPr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3150" w:type="dxa"/>
          </w:tcPr>
          <w:p w14:paraId="0312B9F0" w14:textId="77777777" w:rsidR="00DB3A04" w:rsidRDefault="00DB3A04" w:rsidP="00CE0DA1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Accounting Manager of Student Business Services - Treasury</w:t>
            </w:r>
          </w:p>
        </w:tc>
        <w:tc>
          <w:tcPr>
            <w:tcW w:w="4860" w:type="dxa"/>
          </w:tcPr>
          <w:p w14:paraId="4D58974D" w14:textId="60DBC085" w:rsidR="00DB3A04" w:rsidRPr="0068372F" w:rsidRDefault="0068372F" w:rsidP="00CE0DA1">
            <w:pPr>
              <w:spacing w:before="101"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N/A</w:t>
            </w:r>
          </w:p>
        </w:tc>
      </w:tr>
      <w:tr w:rsidR="00DB3A04" w14:paraId="14071ECB" w14:textId="77777777" w:rsidTr="00CE0DA1">
        <w:tc>
          <w:tcPr>
            <w:tcW w:w="2264" w:type="dxa"/>
          </w:tcPr>
          <w:p w14:paraId="5B08D726" w14:textId="77777777" w:rsidR="00DB3A04" w:rsidRDefault="00DB3A04" w:rsidP="00CE0DA1">
            <w:pPr>
              <w:spacing w:before="101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Gift Cards: Electronic</w:t>
            </w:r>
          </w:p>
        </w:tc>
        <w:tc>
          <w:tcPr>
            <w:tcW w:w="3150" w:type="dxa"/>
          </w:tcPr>
          <w:p w14:paraId="408CB7D6" w14:textId="7AD1E778" w:rsidR="00DB3A04" w:rsidRDefault="00DB3A04" w:rsidP="00CE0DA1">
            <w:pPr>
              <w:spacing w:before="101" w:after="12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B0B5442" w14:textId="77777777" w:rsidR="00DB3A04" w:rsidRDefault="0068372F" w:rsidP="00CE0DA1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original purchase resulted in an expense, no additional action is needed unless there are leftover electronic gift cards.</w:t>
            </w:r>
          </w:p>
          <w:p w14:paraId="45ED318A" w14:textId="77777777" w:rsidR="0068372F" w:rsidRDefault="0068372F" w:rsidP="00CE0DA1">
            <w:pPr>
              <w:spacing w:before="101" w:after="120"/>
              <w:rPr>
                <w:sz w:val="20"/>
                <w:szCs w:val="20"/>
              </w:rPr>
            </w:pPr>
          </w:p>
          <w:p w14:paraId="3E4C668E" w14:textId="3393F022" w:rsidR="0068372F" w:rsidRDefault="0068372F" w:rsidP="00CE0DA1">
            <w:pPr>
              <w:spacing w:before="10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are leftover electronic gift cards, the custodian must “purchase” them and write a reimbursement check submitted to Cash Management.</w:t>
            </w:r>
          </w:p>
        </w:tc>
      </w:tr>
    </w:tbl>
    <w:p w14:paraId="7DF794E2" w14:textId="77777777" w:rsidR="00323783" w:rsidRPr="00085F45" w:rsidRDefault="00323783" w:rsidP="00085F45">
      <w:pPr>
        <w:rPr>
          <w:rFonts w:eastAsia="Times New Roman" w:cs="Calibri"/>
          <w:color w:val="000000"/>
          <w:sz w:val="20"/>
          <w:szCs w:val="20"/>
        </w:rPr>
      </w:pPr>
    </w:p>
    <w:sectPr w:rsidR="00323783" w:rsidRPr="00085F45" w:rsidSect="00CA0E7E">
      <w:headerReference w:type="default" r:id="rId15"/>
      <w:pgSz w:w="12240" w:h="15840"/>
      <w:pgMar w:top="1960" w:right="880" w:bottom="280" w:left="1160" w:header="4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835C" w14:textId="77777777" w:rsidR="002C59FB" w:rsidRDefault="002C59FB">
      <w:r>
        <w:separator/>
      </w:r>
    </w:p>
  </w:endnote>
  <w:endnote w:type="continuationSeparator" w:id="0">
    <w:p w14:paraId="5CC0C475" w14:textId="77777777" w:rsidR="002C59FB" w:rsidRDefault="002C59FB">
      <w:r>
        <w:continuationSeparator/>
      </w:r>
    </w:p>
  </w:endnote>
  <w:endnote w:type="continuationNotice" w:id="1">
    <w:p w14:paraId="58F6D18B" w14:textId="77777777" w:rsidR="002C59FB" w:rsidRDefault="002C5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1C8D" w14:textId="77777777" w:rsidR="002C59FB" w:rsidRDefault="002C59FB">
      <w:r>
        <w:separator/>
      </w:r>
    </w:p>
  </w:footnote>
  <w:footnote w:type="continuationSeparator" w:id="0">
    <w:p w14:paraId="55ECCA1D" w14:textId="77777777" w:rsidR="002C59FB" w:rsidRDefault="002C59FB">
      <w:r>
        <w:continuationSeparator/>
      </w:r>
    </w:p>
  </w:footnote>
  <w:footnote w:type="continuationNotice" w:id="1">
    <w:p w14:paraId="7DB5E2D1" w14:textId="77777777" w:rsidR="002C59FB" w:rsidRDefault="002C5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5046" w14:textId="77777777" w:rsidR="001E6471" w:rsidRDefault="00000000">
    <w:pPr>
      <w:pStyle w:val="BodyText"/>
      <w:spacing w:line="14" w:lineRule="auto"/>
    </w:pPr>
    <w:r>
      <w:pict w14:anchorId="3D4E8B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21.6pt;width:480.75pt;height:77.3pt;z-index:251658240;mso-position-horizontal-relative:page;mso-position-vertical-relative:page" filled="f" stroked="f">
          <v:textbox style="mso-next-textbox:#_x0000_s1025"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068"/>
                  <w:gridCol w:w="2762"/>
                  <w:gridCol w:w="2620"/>
                </w:tblGrid>
                <w:tr w:rsidR="001E6471" w14:paraId="13FE6E4F" w14:textId="77777777" w:rsidTr="004C0C33">
                  <w:trPr>
                    <w:trHeight w:val="353"/>
                  </w:trPr>
                  <w:tc>
                    <w:tcPr>
                      <w:tcW w:w="4068" w:type="dxa"/>
                      <w:vMerge w:val="restart"/>
                    </w:tcPr>
                    <w:p w14:paraId="130083E8" w14:textId="77777777" w:rsidR="001E6471" w:rsidRDefault="001E6471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382" w:type="dxa"/>
                      <w:gridSpan w:val="2"/>
                    </w:tcPr>
                    <w:p w14:paraId="15D12829" w14:textId="5C2D0221" w:rsidR="001E6471" w:rsidRDefault="00CA0E7E" w:rsidP="00F87CC3">
                      <w:pPr>
                        <w:pStyle w:val="TableParagraph"/>
                        <w:spacing w:before="67"/>
                        <w:ind w:left="0" w:right="94"/>
                        <w:jc w:val="right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 xml:space="preserve">Page </w:t>
                      </w:r>
                      <w:r w:rsidR="00E35C58" w:rsidRPr="00E35C58">
                        <w:rPr>
                          <w:rFonts w:ascii="Calibri"/>
                          <w:b/>
                          <w:sz w:val="18"/>
                        </w:rPr>
                        <w:fldChar w:fldCharType="begin"/>
                      </w:r>
                      <w:r w:rsidR="00E35C58" w:rsidRPr="00E35C58">
                        <w:rPr>
                          <w:rFonts w:ascii="Calibri"/>
                          <w:b/>
                          <w:sz w:val="18"/>
                        </w:rPr>
                        <w:instrText xml:space="preserve"> PAGE   \* MERGEFORMAT </w:instrText>
                      </w:r>
                      <w:r w:rsidR="00E35C58" w:rsidRPr="00E35C58">
                        <w:rPr>
                          <w:rFonts w:ascii="Calibri"/>
                          <w:b/>
                          <w:sz w:val="18"/>
                        </w:rPr>
                        <w:fldChar w:fldCharType="separate"/>
                      </w:r>
                      <w:r w:rsidR="00E35C58" w:rsidRPr="00E35C58">
                        <w:rPr>
                          <w:rFonts w:ascii="Calibri"/>
                          <w:b/>
                          <w:noProof/>
                          <w:sz w:val="18"/>
                        </w:rPr>
                        <w:t>1</w:t>
                      </w:r>
                      <w:r w:rsidR="00E35C58" w:rsidRPr="00E35C58">
                        <w:rPr>
                          <w:rFonts w:ascii="Calibri"/>
                          <w:b/>
                          <w:noProof/>
                          <w:sz w:val="18"/>
                        </w:rPr>
                        <w:fldChar w:fldCharType="end"/>
                      </w:r>
                    </w:p>
                  </w:tc>
                </w:tr>
                <w:tr w:rsidR="001E6471" w14:paraId="00663E42" w14:textId="77777777" w:rsidTr="004C0C33">
                  <w:trPr>
                    <w:trHeight w:val="576"/>
                  </w:trPr>
                  <w:tc>
                    <w:tcPr>
                      <w:tcW w:w="4068" w:type="dxa"/>
                      <w:vMerge/>
                      <w:tcBorders>
                        <w:top w:val="nil"/>
                      </w:tcBorders>
                    </w:tcPr>
                    <w:p w14:paraId="22DA9622" w14:textId="77777777" w:rsidR="001E6471" w:rsidRDefault="001E647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762" w:type="dxa"/>
                    </w:tcPr>
                    <w:p w14:paraId="36BE4A21" w14:textId="77777777" w:rsidR="001E6471" w:rsidRDefault="001E6471">
                      <w:pPr>
                        <w:pStyle w:val="TableParagraph"/>
                        <w:spacing w:before="69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333333"/>
                          <w:sz w:val="18"/>
                        </w:rPr>
                        <w:t>PREPARED</w:t>
                      </w:r>
                      <w:r>
                        <w:rPr>
                          <w:rFonts w:ascii="Calibri"/>
                          <w:b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333333"/>
                          <w:sz w:val="18"/>
                        </w:rPr>
                        <w:t>BY:</w:t>
                      </w:r>
                    </w:p>
                    <w:p w14:paraId="3D2E9B2C" w14:textId="01044C1C" w:rsidR="001E6471" w:rsidRDefault="006D312F">
                      <w:pPr>
                        <w:pStyle w:val="TableParagraph"/>
                        <w:ind w:left="107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Sarah Kern</w:t>
                      </w:r>
                    </w:p>
                  </w:tc>
                  <w:tc>
                    <w:tcPr>
                      <w:tcW w:w="2620" w:type="dxa"/>
                    </w:tcPr>
                    <w:p w14:paraId="4003AFE4" w14:textId="77777777" w:rsidR="001E6471" w:rsidRDefault="001E6471">
                      <w:pPr>
                        <w:pStyle w:val="TableParagraph"/>
                        <w:spacing w:before="69"/>
                        <w:ind w:left="108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333333"/>
                          <w:sz w:val="18"/>
                        </w:rPr>
                        <w:t>APPROVED BY:</w:t>
                      </w:r>
                    </w:p>
                    <w:p w14:paraId="687F8D8D" w14:textId="0CAF82F3" w:rsidR="001E6471" w:rsidRDefault="00851227">
                      <w:pPr>
                        <w:pStyle w:val="TableParagraph"/>
                        <w:ind w:left="10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Sarah Kern</w:t>
                      </w:r>
                    </w:p>
                  </w:tc>
                </w:tr>
                <w:tr w:rsidR="001E6471" w14:paraId="567F47FD" w14:textId="77777777" w:rsidTr="004C0C33">
                  <w:trPr>
                    <w:trHeight w:val="575"/>
                  </w:trPr>
                  <w:tc>
                    <w:tcPr>
                      <w:tcW w:w="4068" w:type="dxa"/>
                    </w:tcPr>
                    <w:p w14:paraId="6D6F09E5" w14:textId="6F994557" w:rsidR="001E6471" w:rsidRDefault="001E6471" w:rsidP="00F22584">
                      <w:pPr>
                        <w:pStyle w:val="TableParagraph"/>
                        <w:spacing w:before="68"/>
                        <w:ind w:left="107" w:right="290" w:hanging="1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18"/>
                        </w:rPr>
                        <w:t xml:space="preserve">DOCUMENT TITLE: </w:t>
                      </w:r>
                      <w:r>
                        <w:rPr>
                          <w:rFonts w:ascii="Calibri" w:hAnsi="Calibri"/>
                          <w:color w:val="333333"/>
                          <w:sz w:val="18"/>
                        </w:rPr>
                        <w:t xml:space="preserve">Job Aid </w:t>
                      </w:r>
                      <w:r>
                        <w:rPr>
                          <w:rFonts w:ascii="Calibri" w:hAnsi="Calibri"/>
                          <w:b/>
                          <w:color w:val="333333"/>
                          <w:sz w:val="18"/>
                        </w:rPr>
                        <w:t xml:space="preserve">– </w:t>
                      </w:r>
                      <w:r w:rsidR="00851227">
                        <w:rPr>
                          <w:rFonts w:ascii="Calibri" w:hAnsi="Calibri"/>
                          <w:color w:val="333333"/>
                          <w:sz w:val="18"/>
                        </w:rPr>
                        <w:t>Research Subject</w:t>
                      </w:r>
                      <w:r w:rsidR="007A4110">
                        <w:rPr>
                          <w:rFonts w:ascii="Calibri" w:hAnsi="Calibri"/>
                          <w:color w:val="333333"/>
                          <w:sz w:val="18"/>
                        </w:rPr>
                        <w:t xml:space="preserve"> Payments</w:t>
                      </w:r>
                    </w:p>
                  </w:tc>
                  <w:tc>
                    <w:tcPr>
                      <w:tcW w:w="2762" w:type="dxa"/>
                    </w:tcPr>
                    <w:p w14:paraId="57DB7E91" w14:textId="757B1389" w:rsidR="001E6471" w:rsidRDefault="001E6471" w:rsidP="00C07B2E">
                      <w:pPr>
                        <w:pStyle w:val="TableParagraph"/>
                        <w:spacing w:before="68"/>
                        <w:ind w:left="107" w:right="89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 w:val="18"/>
                        </w:rPr>
                        <w:t xml:space="preserve">DEPARTMENT: </w:t>
                      </w:r>
                      <w:r w:rsidR="006D312F">
                        <w:rPr>
                          <w:rFonts w:ascii="Calibri" w:hAnsi="Calibri"/>
                          <w:color w:val="333333"/>
                          <w:sz w:val="18"/>
                        </w:rPr>
                        <w:t>KE Operations – Fiscal Oversight</w:t>
                      </w:r>
                    </w:p>
                  </w:tc>
                  <w:tc>
                    <w:tcPr>
                      <w:tcW w:w="2620" w:type="dxa"/>
                    </w:tcPr>
                    <w:p w14:paraId="1A9369F4" w14:textId="3C2DCCAF" w:rsidR="001E6471" w:rsidRDefault="001E6471">
                      <w:pPr>
                        <w:pStyle w:val="TableParagraph"/>
                        <w:spacing w:before="68"/>
                        <w:ind w:left="108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333333"/>
                          <w:sz w:val="18"/>
                        </w:rPr>
                        <w:t>EFFECTIVE DATE</w:t>
                      </w:r>
                      <w:r w:rsidR="004C0C33">
                        <w:rPr>
                          <w:rFonts w:ascii="Calibri"/>
                          <w:b/>
                          <w:color w:val="333333"/>
                          <w:sz w:val="18"/>
                        </w:rPr>
                        <w:t>/UPDATED DATE</w:t>
                      </w:r>
                      <w:r>
                        <w:rPr>
                          <w:rFonts w:ascii="Calibri"/>
                          <w:b/>
                          <w:color w:val="333333"/>
                          <w:sz w:val="18"/>
                        </w:rPr>
                        <w:t>:</w:t>
                      </w:r>
                    </w:p>
                    <w:p w14:paraId="245470FC" w14:textId="739FB598" w:rsidR="001E6471" w:rsidRDefault="00851227">
                      <w:pPr>
                        <w:pStyle w:val="TableParagraph"/>
                        <w:ind w:left="10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08/15/2023</w:t>
                      </w:r>
                    </w:p>
                  </w:tc>
                </w:tr>
              </w:tbl>
              <w:p w14:paraId="6BF9A9F2" w14:textId="77777777" w:rsidR="001E6471" w:rsidRDefault="001E6471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1E6471">
      <w:rPr>
        <w:noProof/>
        <w:lang w:bidi="ar-SA"/>
      </w:rPr>
      <w:drawing>
        <wp:anchor distT="0" distB="0" distL="0" distR="0" simplePos="0" relativeHeight="251658241" behindDoc="1" locked="0" layoutInCell="1" allowOverlap="1" wp14:anchorId="09533078" wp14:editId="57773386">
          <wp:simplePos x="0" y="0"/>
          <wp:positionH relativeFrom="page">
            <wp:posOffset>986155</wp:posOffset>
          </wp:positionH>
          <wp:positionV relativeFrom="page">
            <wp:posOffset>368936</wp:posOffset>
          </wp:positionV>
          <wp:extent cx="2321171" cy="42036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171" cy="420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CFC"/>
    <w:multiLevelType w:val="hybridMultilevel"/>
    <w:tmpl w:val="B508AAA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1BBA60E7"/>
    <w:multiLevelType w:val="hybridMultilevel"/>
    <w:tmpl w:val="77F2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682"/>
    <w:multiLevelType w:val="hybridMultilevel"/>
    <w:tmpl w:val="76169D70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22387292"/>
    <w:multiLevelType w:val="hybridMultilevel"/>
    <w:tmpl w:val="21E0D520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2E9F4DC4"/>
    <w:multiLevelType w:val="hybridMultilevel"/>
    <w:tmpl w:val="B508AAA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2FE40C85"/>
    <w:multiLevelType w:val="hybridMultilevel"/>
    <w:tmpl w:val="EB1C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A32"/>
    <w:multiLevelType w:val="hybridMultilevel"/>
    <w:tmpl w:val="B508AAA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32A7626E"/>
    <w:multiLevelType w:val="hybridMultilevel"/>
    <w:tmpl w:val="A5B48C2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33F03DCC"/>
    <w:multiLevelType w:val="hybridMultilevel"/>
    <w:tmpl w:val="06EA8E9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 w15:restartNumberingAfterBreak="0">
    <w:nsid w:val="3B167662"/>
    <w:multiLevelType w:val="hybridMultilevel"/>
    <w:tmpl w:val="B09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57C5"/>
    <w:multiLevelType w:val="hybridMultilevel"/>
    <w:tmpl w:val="0AA0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E51AA"/>
    <w:multiLevelType w:val="hybridMultilevel"/>
    <w:tmpl w:val="F81A88DA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5BEA75C3"/>
    <w:multiLevelType w:val="hybridMultilevel"/>
    <w:tmpl w:val="FA2E67C6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6B613FE5"/>
    <w:multiLevelType w:val="multilevel"/>
    <w:tmpl w:val="C8CA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81166"/>
    <w:multiLevelType w:val="hybridMultilevel"/>
    <w:tmpl w:val="069E4CFA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 w15:restartNumberingAfterBreak="0">
    <w:nsid w:val="76401CCB"/>
    <w:multiLevelType w:val="hybridMultilevel"/>
    <w:tmpl w:val="DCD090A4"/>
    <w:lvl w:ilvl="0" w:tplc="8FC604E6">
      <w:start w:val="1"/>
      <w:numFmt w:val="decimal"/>
      <w:lvlText w:val="%1."/>
      <w:lvlJc w:val="left"/>
      <w:pPr>
        <w:ind w:left="994" w:hanging="360"/>
      </w:pPr>
    </w:lvl>
    <w:lvl w:ilvl="1" w:tplc="65FE462E">
      <w:start w:val="1"/>
      <w:numFmt w:val="lowerLetter"/>
      <w:lvlText w:val="%2."/>
      <w:lvlJc w:val="left"/>
      <w:pPr>
        <w:ind w:left="1714" w:hanging="360"/>
      </w:pPr>
    </w:lvl>
    <w:lvl w:ilvl="2" w:tplc="C6E00752">
      <w:start w:val="1"/>
      <w:numFmt w:val="lowerRoman"/>
      <w:lvlText w:val="%3."/>
      <w:lvlJc w:val="right"/>
      <w:pPr>
        <w:ind w:left="2520" w:hanging="180"/>
      </w:pPr>
    </w:lvl>
    <w:lvl w:ilvl="3" w:tplc="11CADCB2">
      <w:start w:val="1"/>
      <w:numFmt w:val="decimal"/>
      <w:lvlText w:val="%4."/>
      <w:lvlJc w:val="left"/>
      <w:pPr>
        <w:ind w:left="3154" w:hanging="360"/>
      </w:pPr>
    </w:lvl>
    <w:lvl w:ilvl="4" w:tplc="55BCA348">
      <w:start w:val="1"/>
      <w:numFmt w:val="lowerLetter"/>
      <w:lvlText w:val="%5."/>
      <w:lvlJc w:val="left"/>
      <w:pPr>
        <w:ind w:left="3874" w:hanging="360"/>
      </w:pPr>
    </w:lvl>
    <w:lvl w:ilvl="5" w:tplc="99F0225E">
      <w:start w:val="1"/>
      <w:numFmt w:val="lowerRoman"/>
      <w:lvlText w:val="%6."/>
      <w:lvlJc w:val="right"/>
      <w:pPr>
        <w:ind w:left="4594" w:hanging="180"/>
      </w:pPr>
    </w:lvl>
    <w:lvl w:ilvl="6" w:tplc="F53C984A">
      <w:start w:val="1"/>
      <w:numFmt w:val="decimal"/>
      <w:lvlText w:val="%7."/>
      <w:lvlJc w:val="left"/>
      <w:pPr>
        <w:ind w:left="5314" w:hanging="360"/>
      </w:pPr>
    </w:lvl>
    <w:lvl w:ilvl="7" w:tplc="CD0A9894">
      <w:start w:val="1"/>
      <w:numFmt w:val="lowerLetter"/>
      <w:lvlText w:val="%8."/>
      <w:lvlJc w:val="left"/>
      <w:pPr>
        <w:ind w:left="6034" w:hanging="360"/>
      </w:pPr>
    </w:lvl>
    <w:lvl w:ilvl="8" w:tplc="05828838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7B234AB0"/>
    <w:multiLevelType w:val="hybridMultilevel"/>
    <w:tmpl w:val="069E4CFA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1358042396">
    <w:abstractNumId w:val="15"/>
  </w:num>
  <w:num w:numId="2" w16cid:durableId="929629282">
    <w:abstractNumId w:val="1"/>
  </w:num>
  <w:num w:numId="3" w16cid:durableId="718405807">
    <w:abstractNumId w:val="7"/>
  </w:num>
  <w:num w:numId="4" w16cid:durableId="78216634">
    <w:abstractNumId w:val="2"/>
  </w:num>
  <w:num w:numId="5" w16cid:durableId="721833750">
    <w:abstractNumId w:val="3"/>
  </w:num>
  <w:num w:numId="6" w16cid:durableId="809590478">
    <w:abstractNumId w:val="12"/>
  </w:num>
  <w:num w:numId="7" w16cid:durableId="588469863">
    <w:abstractNumId w:val="16"/>
  </w:num>
  <w:num w:numId="8" w16cid:durableId="1677421017">
    <w:abstractNumId w:val="8"/>
  </w:num>
  <w:num w:numId="9" w16cid:durableId="1616323811">
    <w:abstractNumId w:val="13"/>
  </w:num>
  <w:num w:numId="10" w16cid:durableId="1080904117">
    <w:abstractNumId w:val="10"/>
  </w:num>
  <w:num w:numId="11" w16cid:durableId="2050760178">
    <w:abstractNumId w:val="14"/>
  </w:num>
  <w:num w:numId="12" w16cid:durableId="1895580156">
    <w:abstractNumId w:val="6"/>
  </w:num>
  <w:num w:numId="13" w16cid:durableId="1460025094">
    <w:abstractNumId w:val="4"/>
  </w:num>
  <w:num w:numId="14" w16cid:durableId="955135184">
    <w:abstractNumId w:val="0"/>
  </w:num>
  <w:num w:numId="15" w16cid:durableId="2069497750">
    <w:abstractNumId w:val="9"/>
  </w:num>
  <w:num w:numId="16" w16cid:durableId="1115515272">
    <w:abstractNumId w:val="11"/>
  </w:num>
  <w:num w:numId="17" w16cid:durableId="14653439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B21"/>
    <w:rsid w:val="00020191"/>
    <w:rsid w:val="00025A57"/>
    <w:rsid w:val="0002796F"/>
    <w:rsid w:val="000440D0"/>
    <w:rsid w:val="00047FC7"/>
    <w:rsid w:val="00064F75"/>
    <w:rsid w:val="00076A2C"/>
    <w:rsid w:val="00085F45"/>
    <w:rsid w:val="000A53DA"/>
    <w:rsid w:val="000A55E3"/>
    <w:rsid w:val="000C16A3"/>
    <w:rsid w:val="000C5724"/>
    <w:rsid w:val="000D22CC"/>
    <w:rsid w:val="000D453E"/>
    <w:rsid w:val="000D78B1"/>
    <w:rsid w:val="000E72CB"/>
    <w:rsid w:val="000F2037"/>
    <w:rsid w:val="001021B8"/>
    <w:rsid w:val="00104541"/>
    <w:rsid w:val="001157B7"/>
    <w:rsid w:val="0012380D"/>
    <w:rsid w:val="00143948"/>
    <w:rsid w:val="001515BC"/>
    <w:rsid w:val="00152997"/>
    <w:rsid w:val="0015714F"/>
    <w:rsid w:val="00163229"/>
    <w:rsid w:val="001679D2"/>
    <w:rsid w:val="00190CAE"/>
    <w:rsid w:val="00195E02"/>
    <w:rsid w:val="00197C80"/>
    <w:rsid w:val="001C0394"/>
    <w:rsid w:val="001E3AE0"/>
    <w:rsid w:val="001E6471"/>
    <w:rsid w:val="001F74A0"/>
    <w:rsid w:val="0020481B"/>
    <w:rsid w:val="002127CD"/>
    <w:rsid w:val="00230BD6"/>
    <w:rsid w:val="002369EA"/>
    <w:rsid w:val="0024248D"/>
    <w:rsid w:val="00263BA2"/>
    <w:rsid w:val="002752D3"/>
    <w:rsid w:val="002828F0"/>
    <w:rsid w:val="00285806"/>
    <w:rsid w:val="002B3B26"/>
    <w:rsid w:val="002C3BC8"/>
    <w:rsid w:val="002C5669"/>
    <w:rsid w:val="002C59FB"/>
    <w:rsid w:val="002D0093"/>
    <w:rsid w:val="002D3401"/>
    <w:rsid w:val="002E1149"/>
    <w:rsid w:val="002E4788"/>
    <w:rsid w:val="002F059C"/>
    <w:rsid w:val="002F3845"/>
    <w:rsid w:val="003006E6"/>
    <w:rsid w:val="0030477D"/>
    <w:rsid w:val="00310035"/>
    <w:rsid w:val="00312AB1"/>
    <w:rsid w:val="00323783"/>
    <w:rsid w:val="003375FF"/>
    <w:rsid w:val="0035107A"/>
    <w:rsid w:val="00352D64"/>
    <w:rsid w:val="00353AF6"/>
    <w:rsid w:val="00365B21"/>
    <w:rsid w:val="00377B0E"/>
    <w:rsid w:val="00380312"/>
    <w:rsid w:val="00387BB7"/>
    <w:rsid w:val="00395C29"/>
    <w:rsid w:val="00396B42"/>
    <w:rsid w:val="003A745D"/>
    <w:rsid w:val="003C08DE"/>
    <w:rsid w:val="003C1028"/>
    <w:rsid w:val="003C3244"/>
    <w:rsid w:val="003D0398"/>
    <w:rsid w:val="003F7F42"/>
    <w:rsid w:val="00403496"/>
    <w:rsid w:val="004159B0"/>
    <w:rsid w:val="00423410"/>
    <w:rsid w:val="004239BB"/>
    <w:rsid w:val="00442C18"/>
    <w:rsid w:val="004440D6"/>
    <w:rsid w:val="00444882"/>
    <w:rsid w:val="00470A7C"/>
    <w:rsid w:val="0047295E"/>
    <w:rsid w:val="0047403B"/>
    <w:rsid w:val="00475F26"/>
    <w:rsid w:val="00494D3B"/>
    <w:rsid w:val="004A1DD5"/>
    <w:rsid w:val="004B7F4A"/>
    <w:rsid w:val="004C0C33"/>
    <w:rsid w:val="004D3656"/>
    <w:rsid w:val="004F2E11"/>
    <w:rsid w:val="004F7C31"/>
    <w:rsid w:val="00500606"/>
    <w:rsid w:val="00503A50"/>
    <w:rsid w:val="005201E2"/>
    <w:rsid w:val="0052174C"/>
    <w:rsid w:val="00523C37"/>
    <w:rsid w:val="0052580C"/>
    <w:rsid w:val="0052599A"/>
    <w:rsid w:val="00532E63"/>
    <w:rsid w:val="00534A9E"/>
    <w:rsid w:val="00535DCD"/>
    <w:rsid w:val="00555EED"/>
    <w:rsid w:val="00567635"/>
    <w:rsid w:val="00570FD9"/>
    <w:rsid w:val="00577E76"/>
    <w:rsid w:val="00582DD7"/>
    <w:rsid w:val="00595330"/>
    <w:rsid w:val="005A0A6D"/>
    <w:rsid w:val="005A75D8"/>
    <w:rsid w:val="005D254F"/>
    <w:rsid w:val="005D50C2"/>
    <w:rsid w:val="005D79C3"/>
    <w:rsid w:val="005F0FF2"/>
    <w:rsid w:val="005F4ECA"/>
    <w:rsid w:val="00614632"/>
    <w:rsid w:val="006237B1"/>
    <w:rsid w:val="00625970"/>
    <w:rsid w:val="00634AE8"/>
    <w:rsid w:val="00634F1E"/>
    <w:rsid w:val="0063647E"/>
    <w:rsid w:val="00651FAA"/>
    <w:rsid w:val="00652132"/>
    <w:rsid w:val="006542EB"/>
    <w:rsid w:val="00657BE0"/>
    <w:rsid w:val="0068372F"/>
    <w:rsid w:val="00692443"/>
    <w:rsid w:val="00694FF4"/>
    <w:rsid w:val="00696E03"/>
    <w:rsid w:val="006A2FB2"/>
    <w:rsid w:val="006D312F"/>
    <w:rsid w:val="006E0546"/>
    <w:rsid w:val="006E5F0F"/>
    <w:rsid w:val="006E6B24"/>
    <w:rsid w:val="006E7825"/>
    <w:rsid w:val="006F6B8B"/>
    <w:rsid w:val="0070045F"/>
    <w:rsid w:val="00702F5E"/>
    <w:rsid w:val="007508FA"/>
    <w:rsid w:val="007602AA"/>
    <w:rsid w:val="0079129C"/>
    <w:rsid w:val="007A4110"/>
    <w:rsid w:val="007A612C"/>
    <w:rsid w:val="007B61F3"/>
    <w:rsid w:val="007E25C1"/>
    <w:rsid w:val="007F3F31"/>
    <w:rsid w:val="00807EF8"/>
    <w:rsid w:val="00810FB0"/>
    <w:rsid w:val="00826D2E"/>
    <w:rsid w:val="00827CD6"/>
    <w:rsid w:val="008403C8"/>
    <w:rsid w:val="00845209"/>
    <w:rsid w:val="00850427"/>
    <w:rsid w:val="00851227"/>
    <w:rsid w:val="00851257"/>
    <w:rsid w:val="00856600"/>
    <w:rsid w:val="00867A03"/>
    <w:rsid w:val="00880709"/>
    <w:rsid w:val="0089163F"/>
    <w:rsid w:val="008A4BED"/>
    <w:rsid w:val="008B2F8E"/>
    <w:rsid w:val="008C0A45"/>
    <w:rsid w:val="008E5024"/>
    <w:rsid w:val="008E7C96"/>
    <w:rsid w:val="008F2076"/>
    <w:rsid w:val="0091753C"/>
    <w:rsid w:val="00943551"/>
    <w:rsid w:val="00951BB1"/>
    <w:rsid w:val="00951F28"/>
    <w:rsid w:val="00967A46"/>
    <w:rsid w:val="00975126"/>
    <w:rsid w:val="009C460A"/>
    <w:rsid w:val="009E510A"/>
    <w:rsid w:val="009E5DC1"/>
    <w:rsid w:val="009F3B5C"/>
    <w:rsid w:val="009F40B8"/>
    <w:rsid w:val="00A177DB"/>
    <w:rsid w:val="00A2043D"/>
    <w:rsid w:val="00A210E8"/>
    <w:rsid w:val="00A32A62"/>
    <w:rsid w:val="00A456DE"/>
    <w:rsid w:val="00A53ECB"/>
    <w:rsid w:val="00A61B3D"/>
    <w:rsid w:val="00A67232"/>
    <w:rsid w:val="00A71116"/>
    <w:rsid w:val="00A8513A"/>
    <w:rsid w:val="00A97531"/>
    <w:rsid w:val="00A97B63"/>
    <w:rsid w:val="00AB05B5"/>
    <w:rsid w:val="00AB7494"/>
    <w:rsid w:val="00AE7C79"/>
    <w:rsid w:val="00B00EA4"/>
    <w:rsid w:val="00B30468"/>
    <w:rsid w:val="00B45C51"/>
    <w:rsid w:val="00B715A9"/>
    <w:rsid w:val="00B7473C"/>
    <w:rsid w:val="00B86A4C"/>
    <w:rsid w:val="00B9713A"/>
    <w:rsid w:val="00BA57C7"/>
    <w:rsid w:val="00BC3A90"/>
    <w:rsid w:val="00BC7925"/>
    <w:rsid w:val="00BD0347"/>
    <w:rsid w:val="00BD5318"/>
    <w:rsid w:val="00BE08EB"/>
    <w:rsid w:val="00BF53B5"/>
    <w:rsid w:val="00C07B2E"/>
    <w:rsid w:val="00C21AF9"/>
    <w:rsid w:val="00C256D8"/>
    <w:rsid w:val="00C34970"/>
    <w:rsid w:val="00C4584B"/>
    <w:rsid w:val="00C57D64"/>
    <w:rsid w:val="00C9110E"/>
    <w:rsid w:val="00C970D4"/>
    <w:rsid w:val="00CA0E7E"/>
    <w:rsid w:val="00CA627B"/>
    <w:rsid w:val="00CB2848"/>
    <w:rsid w:val="00CB369E"/>
    <w:rsid w:val="00CD45AA"/>
    <w:rsid w:val="00D14058"/>
    <w:rsid w:val="00D151CB"/>
    <w:rsid w:val="00D24495"/>
    <w:rsid w:val="00D475B2"/>
    <w:rsid w:val="00D63D58"/>
    <w:rsid w:val="00D83DB9"/>
    <w:rsid w:val="00D8496A"/>
    <w:rsid w:val="00D974DF"/>
    <w:rsid w:val="00DA3F48"/>
    <w:rsid w:val="00DB3A04"/>
    <w:rsid w:val="00DC1601"/>
    <w:rsid w:val="00DD49CF"/>
    <w:rsid w:val="00DE050F"/>
    <w:rsid w:val="00DE32A6"/>
    <w:rsid w:val="00DE5490"/>
    <w:rsid w:val="00DF05DB"/>
    <w:rsid w:val="00DF2E72"/>
    <w:rsid w:val="00E35C58"/>
    <w:rsid w:val="00E61626"/>
    <w:rsid w:val="00E67034"/>
    <w:rsid w:val="00E67F5D"/>
    <w:rsid w:val="00E806CA"/>
    <w:rsid w:val="00E9434F"/>
    <w:rsid w:val="00E958E3"/>
    <w:rsid w:val="00EB2724"/>
    <w:rsid w:val="00EC1344"/>
    <w:rsid w:val="00EC17EE"/>
    <w:rsid w:val="00ED121C"/>
    <w:rsid w:val="00ED63E0"/>
    <w:rsid w:val="00F02D14"/>
    <w:rsid w:val="00F138BD"/>
    <w:rsid w:val="00F17222"/>
    <w:rsid w:val="00F21FF4"/>
    <w:rsid w:val="00F22584"/>
    <w:rsid w:val="00F314A0"/>
    <w:rsid w:val="00F360C5"/>
    <w:rsid w:val="00F479C0"/>
    <w:rsid w:val="00F755C5"/>
    <w:rsid w:val="00F81140"/>
    <w:rsid w:val="00F82675"/>
    <w:rsid w:val="00F87CC3"/>
    <w:rsid w:val="00FA37CF"/>
    <w:rsid w:val="00FA64A9"/>
    <w:rsid w:val="00FA71B1"/>
    <w:rsid w:val="00FD0334"/>
    <w:rsid w:val="00FE0466"/>
    <w:rsid w:val="00FF37FA"/>
    <w:rsid w:val="00FF5B8B"/>
    <w:rsid w:val="03B19F02"/>
    <w:rsid w:val="0959B92D"/>
    <w:rsid w:val="0A7AD9CE"/>
    <w:rsid w:val="10B3B55F"/>
    <w:rsid w:val="11AF7494"/>
    <w:rsid w:val="19F2AC03"/>
    <w:rsid w:val="1B4DFEBA"/>
    <w:rsid w:val="2175CFA8"/>
    <w:rsid w:val="2692CA19"/>
    <w:rsid w:val="294FF267"/>
    <w:rsid w:val="2C4ABB96"/>
    <w:rsid w:val="3086F5A8"/>
    <w:rsid w:val="36EA8AD3"/>
    <w:rsid w:val="3DC24939"/>
    <w:rsid w:val="3DF2C9FD"/>
    <w:rsid w:val="41638967"/>
    <w:rsid w:val="438D3362"/>
    <w:rsid w:val="4B6662C2"/>
    <w:rsid w:val="4BD22782"/>
    <w:rsid w:val="4DB22E17"/>
    <w:rsid w:val="5ABB4764"/>
    <w:rsid w:val="5C55EEFA"/>
    <w:rsid w:val="5CE36352"/>
    <w:rsid w:val="612A9245"/>
    <w:rsid w:val="614F6D33"/>
    <w:rsid w:val="6153BDF6"/>
    <w:rsid w:val="63322766"/>
    <w:rsid w:val="659E702B"/>
    <w:rsid w:val="66A5A2A6"/>
    <w:rsid w:val="67F880FF"/>
    <w:rsid w:val="6E2CCAAD"/>
    <w:rsid w:val="6FD4CFF5"/>
    <w:rsid w:val="71ECAC8E"/>
    <w:rsid w:val="789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E649"/>
  <w15:docId w15:val="{53075F42-0DE1-497D-948A-A440A360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99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C0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2E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2E"/>
    <w:rPr>
      <w:rFonts w:ascii="Verdana" w:eastAsia="Verdana" w:hAnsi="Verdana" w:cs="Verdana"/>
      <w:lang w:bidi="en-US"/>
    </w:rPr>
  </w:style>
  <w:style w:type="character" w:styleId="Hyperlink">
    <w:name w:val="Hyperlink"/>
    <w:basedOn w:val="DefaultParagraphFont"/>
    <w:uiPriority w:val="99"/>
    <w:unhideWhenUsed/>
    <w:rsid w:val="00310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5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A0"/>
    <w:rPr>
      <w:rFonts w:ascii="Verdana" w:eastAsia="Verdana" w:hAnsi="Verdana" w:cs="Verdan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A0"/>
    <w:rPr>
      <w:rFonts w:ascii="Verdana" w:eastAsia="Verdana" w:hAnsi="Verdana" w:cs="Verdan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A0"/>
    <w:rPr>
      <w:rFonts w:ascii="Segoe UI" w:eastAsia="Verdan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A2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u.edu/aad/manuals/rsp/rsp503-0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u.edu/aad/manuals/fin/fin421-05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u.edu/aad/manuals/fin/fin403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su.csod.com/samldefault.aspx?ouid=2&amp;returnURL=%252fDeepLink%252fProcessRedirect.aspx%253fmodule%253dlodetails%2526lo%253d868c6854-30ac-44cf-a564-68c03a8c7c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earchintegrity.asu.edu/human-subje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d537f65e-b635-4b47-9b53-de9c47c6cda9" xsi:nil="true"/>
    <TaxCatchAll xmlns="976c90b8-36ff-40d5-83bb-25216503d8ef" xsi:nil="true"/>
    <lcf76f155ced4ddcb4097134ff3c332f xmlns="d537f65e-b635-4b47-9b53-de9c47c6cda9">
      <Terms xmlns="http://schemas.microsoft.com/office/infopath/2007/PartnerControls"/>
    </lcf76f155ced4ddcb4097134ff3c332f>
    <SharedWithUsers xmlns="976c90b8-36ff-40d5-83bb-25216503d8ef">
      <UserInfo>
        <DisplayName>Samantha McCabe</DisplayName>
        <AccountId>37</AccountId>
        <AccountType/>
      </UserInfo>
      <UserInfo>
        <DisplayName>James Obenour</DisplayName>
        <AccountId>33</AccountId>
        <AccountType/>
      </UserInfo>
      <UserInfo>
        <DisplayName>Sarah Kern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2150D800FAA4ABE6F334437645D89" ma:contentTypeVersion="19" ma:contentTypeDescription="Create a new document." ma:contentTypeScope="" ma:versionID="20d678f1f1e0d88f7d4cf5e5235151fc">
  <xsd:schema xmlns:xsd="http://www.w3.org/2001/XMLSchema" xmlns:xs="http://www.w3.org/2001/XMLSchema" xmlns:p="http://schemas.microsoft.com/office/2006/metadata/properties" xmlns:ns2="d537f65e-b635-4b47-9b53-de9c47c6cda9" xmlns:ns3="976c90b8-36ff-40d5-83bb-25216503d8ef" targetNamespace="http://schemas.microsoft.com/office/2006/metadata/properties" ma:root="true" ma:fieldsID="b9ef4e5f4672f05c4497cf49b439d2f4" ns2:_="" ns3:_="">
    <xsd:import namespace="d537f65e-b635-4b47-9b53-de9c47c6cda9"/>
    <xsd:import namespace="976c90b8-36ff-40d5-83bb-25216503d8ef"/>
    <xsd:element name="properties">
      <xsd:complexType>
        <xsd:sequence>
          <xsd:element name="documentManagement">
            <xsd:complexType>
              <xsd:all>
                <xsd:element ref="ns2:FileDescrip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7f65e-b635-4b47-9b53-de9c47c6cda9" elementFormDefault="qualified">
    <xsd:import namespace="http://schemas.microsoft.com/office/2006/documentManagement/types"/>
    <xsd:import namespace="http://schemas.microsoft.com/office/infopath/2007/PartnerControls"/>
    <xsd:element name="FileDescription" ma:index="2" nillable="true" ma:displayName="File Description" ma:description="A short description of each file" ma:format="Dropdown" ma:internalName="FileDescript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c90b8-36ff-40d5-83bb-25216503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4db585f-3331-4db4-abe0-bcc0e0adbc51}" ma:internalName="TaxCatchAll" ma:showField="CatchAllData" ma:web="976c90b8-36ff-40d5-83bb-25216503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63427-DA2D-437A-BCA2-54C3C773ADE0}">
  <ds:schemaRefs>
    <ds:schemaRef ds:uri="http://schemas.microsoft.com/office/2006/metadata/properties"/>
    <ds:schemaRef ds:uri="http://schemas.microsoft.com/office/infopath/2007/PartnerControls"/>
    <ds:schemaRef ds:uri="d537f65e-b635-4b47-9b53-de9c47c6cda9"/>
    <ds:schemaRef ds:uri="976c90b8-36ff-40d5-83bb-25216503d8ef"/>
  </ds:schemaRefs>
</ds:datastoreItem>
</file>

<file path=customXml/itemProps2.xml><?xml version="1.0" encoding="utf-8"?>
<ds:datastoreItem xmlns:ds="http://schemas.openxmlformats.org/officeDocument/2006/customXml" ds:itemID="{23359965-E404-42A9-9B71-82458DF0A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16487-ED4F-4182-8D69-CE48F7829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7f65e-b635-4b47-9b53-de9c47c6cda9"/>
    <ds:schemaRef ds:uri="976c90b8-36ff-40d5-83bb-25216503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Awards Mailbox Monitoring Job Aid</vt:lpstr>
    </vt:vector>
  </TitlesOfParts>
  <Company>Arizona State University OKED</Company>
  <LinksUpToDate>false</LinksUpToDate>
  <CharactersWithSpaces>5647</CharactersWithSpaces>
  <SharedDoc>false</SharedDoc>
  <HLinks>
    <vt:vector size="66" baseType="variant">
      <vt:variant>
        <vt:i4>5111817</vt:i4>
      </vt:variant>
      <vt:variant>
        <vt:i4>30</vt:i4>
      </vt:variant>
      <vt:variant>
        <vt:i4>0</vt:i4>
      </vt:variant>
      <vt:variant>
        <vt:i4>5</vt:i4>
      </vt:variant>
      <vt:variant>
        <vt:lpwstr>http://researchadmin.asu.edu/</vt:lpwstr>
      </vt:variant>
      <vt:variant>
        <vt:lpwstr/>
      </vt:variant>
      <vt:variant>
        <vt:i4>7077958</vt:i4>
      </vt:variant>
      <vt:variant>
        <vt:i4>27</vt:i4>
      </vt:variant>
      <vt:variant>
        <vt:i4>0</vt:i4>
      </vt:variant>
      <vt:variant>
        <vt:i4>5</vt:i4>
      </vt:variant>
      <vt:variant>
        <vt:lpwstr>mailto:cashmanagement@asu.edu</vt:lpwstr>
      </vt:variant>
      <vt:variant>
        <vt:lpwstr/>
      </vt:variant>
      <vt:variant>
        <vt:i4>5111817</vt:i4>
      </vt:variant>
      <vt:variant>
        <vt:i4>24</vt:i4>
      </vt:variant>
      <vt:variant>
        <vt:i4>0</vt:i4>
      </vt:variant>
      <vt:variant>
        <vt:i4>5</vt:i4>
      </vt:variant>
      <vt:variant>
        <vt:lpwstr>http://researchadmin.asu.edu/</vt:lpwstr>
      </vt:variant>
      <vt:variant>
        <vt:lpwstr/>
      </vt:variant>
      <vt:variant>
        <vt:i4>7077958</vt:i4>
      </vt:variant>
      <vt:variant>
        <vt:i4>21</vt:i4>
      </vt:variant>
      <vt:variant>
        <vt:i4>0</vt:i4>
      </vt:variant>
      <vt:variant>
        <vt:i4>5</vt:i4>
      </vt:variant>
      <vt:variant>
        <vt:lpwstr>mailto:cashmanagement@asu.edu</vt:lpwstr>
      </vt:variant>
      <vt:variant>
        <vt:lpwstr/>
      </vt:variant>
      <vt:variant>
        <vt:i4>5111817</vt:i4>
      </vt:variant>
      <vt:variant>
        <vt:i4>18</vt:i4>
      </vt:variant>
      <vt:variant>
        <vt:i4>0</vt:i4>
      </vt:variant>
      <vt:variant>
        <vt:i4>5</vt:i4>
      </vt:variant>
      <vt:variant>
        <vt:lpwstr>http://researchadmin.asu.edu/</vt:lpwstr>
      </vt:variant>
      <vt:variant>
        <vt:lpwstr/>
      </vt:variant>
      <vt:variant>
        <vt:i4>7077958</vt:i4>
      </vt:variant>
      <vt:variant>
        <vt:i4>15</vt:i4>
      </vt:variant>
      <vt:variant>
        <vt:i4>0</vt:i4>
      </vt:variant>
      <vt:variant>
        <vt:i4>5</vt:i4>
      </vt:variant>
      <vt:variant>
        <vt:lpwstr>mailto:cashmanagement@asu.edu</vt:lpwstr>
      </vt:variant>
      <vt:variant>
        <vt:lpwstr/>
      </vt:variant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http://researchadmin.asu.edu/</vt:lpwstr>
      </vt:variant>
      <vt:variant>
        <vt:lpwstr/>
      </vt:variant>
      <vt:variant>
        <vt:i4>7077958</vt:i4>
      </vt:variant>
      <vt:variant>
        <vt:i4>9</vt:i4>
      </vt:variant>
      <vt:variant>
        <vt:i4>0</vt:i4>
      </vt:variant>
      <vt:variant>
        <vt:i4>5</vt:i4>
      </vt:variant>
      <vt:variant>
        <vt:lpwstr>mailto:cashmanagement@asu.edu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mailto:cashmanagement@asu.edu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https://arizonastateu.sharepoint.com/:f:/r/sites/O365OKEDFOTDPT/Shared Documents/Work Instructions %26 Job Aids/Accounts Receivable?csf=1&amp;web=1&amp;e=8GRTyL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https://www.myworkday.com/asu/d/home.htmld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Awards Mailbox Monitoring Job Aid</dc:title>
  <dc:subject/>
  <dc:creator>mlobento</dc:creator>
  <cp:keywords/>
  <cp:lastModifiedBy>Sarah Kern</cp:lastModifiedBy>
  <cp:revision>3</cp:revision>
  <cp:lastPrinted>2022-10-17T04:16:00Z</cp:lastPrinted>
  <dcterms:created xsi:type="dcterms:W3CDTF">2023-08-15T22:20:00Z</dcterms:created>
  <dcterms:modified xsi:type="dcterms:W3CDTF">2023-08-15T22:29:00Z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2020-01-07T00:00:00Z</vt:filetime>
  </property>
  <property fmtid="{D5CDD505-2E9C-101B-9397-08002B2CF9AE}" pid="5" name="Base Target">
    <vt:lpwstr>_self</vt:lpwstr>
  </property>
  <property fmtid="{D5CDD505-2E9C-101B-9397-08002B2CF9AE}" pid="6" name="ContentTypeId">
    <vt:lpwstr>0x0101005792150D800FAA4ABE6F334437645D89</vt:lpwstr>
  </property>
  <property fmtid="{D5CDD505-2E9C-101B-9397-08002B2CF9AE}" pid="7" name="MediaServiceImageTags">
    <vt:lpwstr/>
  </property>
</Properties>
</file>