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E5" w:rsidRPr="0082723A" w:rsidRDefault="00E402E5" w:rsidP="00E402E5">
      <w:pPr>
        <w:jc w:val="center"/>
        <w:rPr>
          <w:rFonts w:asciiTheme="minorHAnsi" w:hAnsiTheme="minorHAnsi"/>
          <w:b/>
          <w:sz w:val="22"/>
          <w:szCs w:val="22"/>
        </w:rPr>
      </w:pPr>
      <w:bookmarkStart w:id="0" w:name="_GoBack"/>
      <w:bookmarkEnd w:id="0"/>
    </w:p>
    <w:p w:rsidR="002E6C9F" w:rsidRPr="0082723A" w:rsidRDefault="002E6C9F" w:rsidP="00E402E5">
      <w:pPr>
        <w:jc w:val="center"/>
        <w:rPr>
          <w:rFonts w:asciiTheme="minorHAnsi" w:hAnsiTheme="minorHAnsi"/>
          <w:b/>
          <w:sz w:val="22"/>
          <w:szCs w:val="22"/>
        </w:rPr>
      </w:pPr>
    </w:p>
    <w:p w:rsidR="00B76283" w:rsidRPr="00D75A1A" w:rsidRDefault="00D75A1A" w:rsidP="00E402E5">
      <w:pPr>
        <w:jc w:val="center"/>
        <w:rPr>
          <w:rFonts w:asciiTheme="minorHAnsi" w:hAnsiTheme="minorHAnsi"/>
          <w:b/>
          <w:sz w:val="22"/>
          <w:szCs w:val="22"/>
          <w:u w:val="single"/>
        </w:rPr>
      </w:pPr>
      <w:r w:rsidRPr="00D75A1A">
        <w:rPr>
          <w:rFonts w:asciiTheme="minorHAnsi" w:hAnsiTheme="minorHAnsi"/>
          <w:b/>
          <w:sz w:val="22"/>
          <w:szCs w:val="22"/>
          <w:u w:val="single"/>
        </w:rPr>
        <w:t>CERTIFICATION FOR HANDLING EXPORT CONTROLLED INFORMATION</w:t>
      </w:r>
    </w:p>
    <w:p w:rsidR="00B75DE0" w:rsidRPr="0082723A" w:rsidRDefault="00B75DE0" w:rsidP="00E402E5">
      <w:pPr>
        <w:jc w:val="both"/>
        <w:rPr>
          <w:rFonts w:asciiTheme="minorHAnsi" w:hAnsiTheme="minorHAnsi"/>
          <w:sz w:val="22"/>
          <w:szCs w:val="22"/>
        </w:rPr>
      </w:pPr>
    </w:p>
    <w:p w:rsidR="00B76283" w:rsidRPr="0082723A" w:rsidRDefault="00B76283" w:rsidP="00E402E5">
      <w:pPr>
        <w:jc w:val="both"/>
        <w:rPr>
          <w:rFonts w:asciiTheme="minorHAnsi" w:hAnsiTheme="minorHAnsi"/>
          <w:sz w:val="22"/>
          <w:szCs w:val="22"/>
        </w:rPr>
      </w:pPr>
      <w:r w:rsidRPr="0082723A">
        <w:rPr>
          <w:rFonts w:asciiTheme="minorHAnsi" w:hAnsiTheme="minorHAnsi"/>
          <w:b/>
          <w:sz w:val="22"/>
          <w:szCs w:val="22"/>
          <w:u w:val="single"/>
        </w:rPr>
        <w:t>Overview:</w:t>
      </w:r>
      <w:r w:rsidRPr="0082723A">
        <w:rPr>
          <w:rFonts w:asciiTheme="minorHAnsi" w:hAnsiTheme="minorHAnsi"/>
          <w:sz w:val="22"/>
          <w:szCs w:val="22"/>
        </w:rPr>
        <w:t xml:space="preserve">  The research project identified below will involve the receipt and/or use of technical data that is controlled under United States export control laws: the Export Administration Act and Export Administration Regulations (EAR)</w:t>
      </w:r>
      <w:r w:rsidR="00AC2852" w:rsidRPr="0082723A">
        <w:rPr>
          <w:rFonts w:asciiTheme="minorHAnsi" w:hAnsiTheme="minorHAnsi"/>
          <w:sz w:val="22"/>
          <w:szCs w:val="22"/>
        </w:rPr>
        <w:t>;</w:t>
      </w:r>
      <w:r w:rsidRPr="0082723A">
        <w:rPr>
          <w:rFonts w:asciiTheme="minorHAnsi" w:hAnsiTheme="minorHAnsi"/>
          <w:sz w:val="22"/>
          <w:szCs w:val="22"/>
        </w:rPr>
        <w:t xml:space="preserve"> the Arms Export Control Act and its implementing regulations, the International Traffic in Arms Regulations (ITAR)</w:t>
      </w:r>
      <w:r w:rsidR="00AC2852" w:rsidRPr="0082723A">
        <w:rPr>
          <w:rFonts w:asciiTheme="minorHAnsi" w:hAnsiTheme="minorHAnsi"/>
          <w:sz w:val="22"/>
          <w:szCs w:val="22"/>
        </w:rPr>
        <w:t>; the Office of Foreign Assets Control (OFAC) sanctioned countries programs;</w:t>
      </w:r>
      <w:r w:rsidRPr="0082723A">
        <w:rPr>
          <w:rFonts w:asciiTheme="minorHAnsi" w:hAnsiTheme="minorHAnsi"/>
          <w:sz w:val="22"/>
          <w:szCs w:val="22"/>
        </w:rPr>
        <w:t xml:space="preserve"> or the Department of Energy’s </w:t>
      </w:r>
      <w:r w:rsidR="002F2A87" w:rsidRPr="0082723A">
        <w:rPr>
          <w:rFonts w:asciiTheme="minorHAnsi" w:hAnsiTheme="minorHAnsi"/>
          <w:sz w:val="22"/>
          <w:szCs w:val="22"/>
        </w:rPr>
        <w:t xml:space="preserve">(DOE) </w:t>
      </w:r>
      <w:r w:rsidRPr="0082723A">
        <w:rPr>
          <w:rFonts w:asciiTheme="minorHAnsi" w:hAnsiTheme="minorHAnsi"/>
          <w:sz w:val="22"/>
          <w:szCs w:val="22"/>
        </w:rPr>
        <w:t xml:space="preserve">controls on nuclear activities. For additional information </w:t>
      </w:r>
      <w:r w:rsidR="002F2A87" w:rsidRPr="0082723A">
        <w:rPr>
          <w:rFonts w:asciiTheme="minorHAnsi" w:hAnsiTheme="minorHAnsi"/>
          <w:sz w:val="22"/>
          <w:szCs w:val="22"/>
        </w:rPr>
        <w:t>on the above export regulations click on the agency name:</w:t>
      </w:r>
      <w:r w:rsidR="00AC2852" w:rsidRPr="0082723A">
        <w:rPr>
          <w:rFonts w:asciiTheme="minorHAnsi" w:hAnsiTheme="minorHAnsi"/>
          <w:sz w:val="22"/>
          <w:szCs w:val="22"/>
        </w:rPr>
        <w:t xml:space="preserve"> </w:t>
      </w:r>
      <w:hyperlink r:id="rId11" w:history="1">
        <w:proofErr w:type="gramStart"/>
        <w:r w:rsidRPr="0082723A">
          <w:rPr>
            <w:rStyle w:val="Hyperlink"/>
            <w:rFonts w:asciiTheme="minorHAnsi" w:hAnsiTheme="minorHAnsi"/>
            <w:sz w:val="22"/>
            <w:szCs w:val="22"/>
          </w:rPr>
          <w:t>EAR</w:t>
        </w:r>
      </w:hyperlink>
      <w:r w:rsidRPr="0082723A">
        <w:rPr>
          <w:rFonts w:asciiTheme="minorHAnsi" w:hAnsiTheme="minorHAnsi"/>
          <w:sz w:val="22"/>
          <w:szCs w:val="22"/>
        </w:rPr>
        <w:t xml:space="preserve"> </w:t>
      </w:r>
      <w:r w:rsidR="002F2A87" w:rsidRPr="0082723A">
        <w:rPr>
          <w:rFonts w:asciiTheme="minorHAnsi" w:hAnsiTheme="minorHAnsi"/>
          <w:sz w:val="22"/>
          <w:szCs w:val="22"/>
        </w:rPr>
        <w:t>,</w:t>
      </w:r>
      <w:proofErr w:type="gramEnd"/>
      <w:hyperlink r:id="rId12" w:history="1">
        <w:r w:rsidRPr="0082723A">
          <w:rPr>
            <w:rStyle w:val="Hyperlink"/>
            <w:rFonts w:asciiTheme="minorHAnsi" w:hAnsiTheme="minorHAnsi"/>
            <w:sz w:val="22"/>
            <w:szCs w:val="22"/>
          </w:rPr>
          <w:t>ITAR</w:t>
        </w:r>
      </w:hyperlink>
      <w:r w:rsidR="002F2A87" w:rsidRPr="0082723A">
        <w:rPr>
          <w:rFonts w:asciiTheme="minorHAnsi" w:hAnsiTheme="minorHAnsi"/>
          <w:sz w:val="22"/>
          <w:szCs w:val="22"/>
        </w:rPr>
        <w:t xml:space="preserve">, </w:t>
      </w:r>
      <w:hyperlink r:id="rId13" w:history="1">
        <w:r w:rsidR="00AC2852" w:rsidRPr="0082723A">
          <w:rPr>
            <w:rStyle w:val="Hyperlink"/>
            <w:rFonts w:asciiTheme="minorHAnsi" w:hAnsiTheme="minorHAnsi"/>
            <w:sz w:val="22"/>
            <w:szCs w:val="22"/>
          </w:rPr>
          <w:t>OFAC</w:t>
        </w:r>
      </w:hyperlink>
      <w:r w:rsidR="002F2A87" w:rsidRPr="0082723A">
        <w:rPr>
          <w:rFonts w:asciiTheme="minorHAnsi" w:hAnsiTheme="minorHAnsi"/>
          <w:sz w:val="22"/>
          <w:szCs w:val="22"/>
        </w:rPr>
        <w:t xml:space="preserve">, </w:t>
      </w:r>
      <w:hyperlink r:id="rId14" w:history="1">
        <w:r w:rsidR="002F2A87" w:rsidRPr="0082723A">
          <w:rPr>
            <w:rStyle w:val="Hyperlink"/>
            <w:rFonts w:asciiTheme="minorHAnsi" w:hAnsiTheme="minorHAnsi"/>
            <w:sz w:val="22"/>
            <w:szCs w:val="22"/>
          </w:rPr>
          <w:t>DOE</w:t>
        </w:r>
      </w:hyperlink>
      <w:r w:rsidR="00AC2852" w:rsidRPr="0082723A">
        <w:rPr>
          <w:rFonts w:asciiTheme="minorHAnsi" w:hAnsiTheme="minorHAnsi"/>
          <w:sz w:val="22"/>
          <w:szCs w:val="22"/>
        </w:rPr>
        <w:t xml:space="preserve"> </w:t>
      </w:r>
    </w:p>
    <w:p w:rsidR="00B76283" w:rsidRPr="0082723A" w:rsidRDefault="00B76283" w:rsidP="00E402E5">
      <w:pPr>
        <w:jc w:val="both"/>
        <w:rPr>
          <w:rFonts w:asciiTheme="minorHAnsi" w:hAnsiTheme="minorHAnsi"/>
          <w:sz w:val="22"/>
          <w:szCs w:val="22"/>
        </w:rPr>
      </w:pPr>
    </w:p>
    <w:p w:rsidR="00B76283" w:rsidRPr="0082723A" w:rsidRDefault="00B76283" w:rsidP="00E402E5">
      <w:pPr>
        <w:jc w:val="both"/>
        <w:rPr>
          <w:rFonts w:asciiTheme="minorHAnsi" w:hAnsiTheme="minorHAnsi"/>
          <w:sz w:val="22"/>
          <w:szCs w:val="22"/>
        </w:rPr>
      </w:pPr>
      <w:r w:rsidRPr="0082723A">
        <w:rPr>
          <w:rFonts w:asciiTheme="minorHAnsi" w:hAnsiTheme="minorHAnsi"/>
          <w:sz w:val="22"/>
          <w:szCs w:val="22"/>
        </w:rPr>
        <w:t>Recipients of export controlled technical data may be held personally liable for disclosures of export-controlled technical data to unauthorized foreign persons.  As a result, researchers must take reasonable measures to prevent the disclosure and access of export-controlled technical data by unauthorized unlicensed foreign persons defined as anyone who is “not a lawful permanent resident” of the United States (i.e. not a green card holder).  Researchers on this contract shall clearly mark export controlled technical data, identifying personnel who may lawfully access the technical data, store hard copies of controlled technical data in locked cabinets or desks, secure access to electronic copies of a communications containing controlled technical data by passwords, user ids, or other controls; store technical data in a single location and require all persons with lawful access to controlled technical data to confirm their understanding and agree to these conditions.</w:t>
      </w:r>
      <w:r w:rsidR="004B60DC" w:rsidRPr="0082723A">
        <w:rPr>
          <w:rFonts w:asciiTheme="minorHAnsi" w:hAnsiTheme="minorHAnsi"/>
          <w:sz w:val="22"/>
          <w:szCs w:val="22"/>
        </w:rPr>
        <w:t xml:space="preserve"> See </w:t>
      </w:r>
      <w:r w:rsidR="005A00B0" w:rsidRPr="0082723A">
        <w:rPr>
          <w:rFonts w:asciiTheme="minorHAnsi" w:hAnsiTheme="minorHAnsi"/>
          <w:sz w:val="22"/>
          <w:szCs w:val="22"/>
        </w:rPr>
        <w:t xml:space="preserve">recommended </w:t>
      </w:r>
      <w:r w:rsidR="004B60DC" w:rsidRPr="0082723A">
        <w:rPr>
          <w:rFonts w:asciiTheme="minorHAnsi" w:hAnsiTheme="minorHAnsi"/>
          <w:sz w:val="22"/>
          <w:szCs w:val="22"/>
        </w:rPr>
        <w:t>security guidelines below.</w:t>
      </w:r>
    </w:p>
    <w:p w:rsidR="00B76283" w:rsidRPr="0082723A" w:rsidRDefault="00B76283" w:rsidP="00E402E5">
      <w:pPr>
        <w:jc w:val="both"/>
        <w:rPr>
          <w:rFonts w:asciiTheme="minorHAnsi" w:hAnsiTheme="minorHAnsi"/>
          <w:sz w:val="22"/>
          <w:szCs w:val="22"/>
        </w:rPr>
      </w:pPr>
    </w:p>
    <w:p w:rsidR="006C3095" w:rsidRPr="0082723A" w:rsidRDefault="00B76283" w:rsidP="00E402E5">
      <w:pPr>
        <w:jc w:val="both"/>
        <w:rPr>
          <w:rFonts w:asciiTheme="minorHAnsi" w:hAnsiTheme="minorHAnsi"/>
          <w:sz w:val="22"/>
          <w:szCs w:val="22"/>
        </w:rPr>
      </w:pPr>
      <w:r w:rsidRPr="0082723A">
        <w:rPr>
          <w:rFonts w:asciiTheme="minorHAnsi" w:hAnsiTheme="minorHAnsi"/>
          <w:b/>
          <w:sz w:val="22"/>
          <w:szCs w:val="22"/>
          <w:u w:val="single"/>
        </w:rPr>
        <w:t>Certification:</w:t>
      </w:r>
      <w:r w:rsidRPr="0082723A">
        <w:rPr>
          <w:rFonts w:asciiTheme="minorHAnsi" w:hAnsiTheme="minorHAnsi"/>
          <w:sz w:val="22"/>
          <w:szCs w:val="22"/>
        </w:rPr>
        <w:t xml:space="preserve">  I certify that I am familiar with the export control issues summarized above and have read and understand this certification.  I understand that I could be held personally liable if I unlawfully disclose export controlled technical data to foreign persons and agree to take reasonable measures as outlined </w:t>
      </w:r>
      <w:r w:rsidR="004B60DC" w:rsidRPr="0082723A">
        <w:rPr>
          <w:rFonts w:asciiTheme="minorHAnsi" w:hAnsiTheme="minorHAnsi"/>
          <w:sz w:val="22"/>
          <w:szCs w:val="22"/>
        </w:rPr>
        <w:t>below</w:t>
      </w:r>
      <w:r w:rsidRPr="0082723A">
        <w:rPr>
          <w:rFonts w:asciiTheme="minorHAnsi" w:hAnsiTheme="minorHAnsi"/>
          <w:sz w:val="22"/>
          <w:szCs w:val="22"/>
        </w:rPr>
        <w:t xml:space="preserve"> to prevent unauthorized foreign persons from having access to or using any export controlled technical data I may receive under the agreement identified below.</w:t>
      </w:r>
    </w:p>
    <w:p w:rsidR="006C3095" w:rsidRPr="0082723A" w:rsidRDefault="006C3095" w:rsidP="00E402E5">
      <w:pPr>
        <w:jc w:val="both"/>
        <w:rPr>
          <w:rFonts w:asciiTheme="minorHAnsi" w:hAnsiTheme="minorHAnsi"/>
          <w:sz w:val="22"/>
          <w:szCs w:val="22"/>
        </w:rPr>
      </w:pPr>
    </w:p>
    <w:tbl>
      <w:tblPr>
        <w:tblW w:w="0" w:type="auto"/>
        <w:tblLayout w:type="fixed"/>
        <w:tblLook w:val="04A0" w:firstRow="1" w:lastRow="0" w:firstColumn="1" w:lastColumn="0" w:noHBand="0" w:noVBand="1"/>
      </w:tblPr>
      <w:tblGrid>
        <w:gridCol w:w="1638"/>
        <w:gridCol w:w="3870"/>
        <w:gridCol w:w="1260"/>
        <w:gridCol w:w="2808"/>
      </w:tblGrid>
      <w:tr w:rsidR="006C3095" w:rsidRPr="0082723A" w:rsidTr="004200C6">
        <w:trPr>
          <w:trHeight w:val="432"/>
        </w:trPr>
        <w:tc>
          <w:tcPr>
            <w:tcW w:w="1638" w:type="dxa"/>
            <w:vAlign w:val="bottom"/>
          </w:tcPr>
          <w:p w:rsidR="006C3095" w:rsidRPr="0082723A" w:rsidRDefault="006C3095" w:rsidP="006C3095">
            <w:pPr>
              <w:rPr>
                <w:rFonts w:asciiTheme="minorHAnsi" w:hAnsiTheme="minorHAnsi"/>
                <w:sz w:val="22"/>
                <w:szCs w:val="22"/>
              </w:rPr>
            </w:pPr>
            <w:r w:rsidRPr="0082723A">
              <w:rPr>
                <w:rFonts w:asciiTheme="minorHAnsi" w:hAnsiTheme="minorHAnsi"/>
                <w:sz w:val="22"/>
                <w:szCs w:val="22"/>
              </w:rPr>
              <w:t>Signature</w:t>
            </w:r>
          </w:p>
          <w:p w:rsidR="006C3095" w:rsidRPr="0082723A" w:rsidRDefault="006C3095" w:rsidP="006C3095">
            <w:pPr>
              <w:rPr>
                <w:rFonts w:asciiTheme="minorHAnsi" w:hAnsiTheme="minorHAnsi"/>
                <w:sz w:val="22"/>
                <w:szCs w:val="22"/>
              </w:rPr>
            </w:pPr>
            <w:r w:rsidRPr="0082723A">
              <w:rPr>
                <w:rFonts w:asciiTheme="minorHAnsi" w:hAnsiTheme="minorHAnsi"/>
                <w:sz w:val="22"/>
                <w:szCs w:val="22"/>
              </w:rPr>
              <w:t>of Researcher</w:t>
            </w:r>
          </w:p>
        </w:tc>
        <w:tc>
          <w:tcPr>
            <w:tcW w:w="3870" w:type="dxa"/>
            <w:tcBorders>
              <w:bottom w:val="single" w:sz="4" w:space="0" w:color="auto"/>
            </w:tcBorders>
            <w:vAlign w:val="bottom"/>
          </w:tcPr>
          <w:p w:rsidR="006C3095" w:rsidRPr="0082723A" w:rsidRDefault="006C3095" w:rsidP="006C3095">
            <w:pPr>
              <w:rPr>
                <w:rFonts w:asciiTheme="minorHAnsi" w:hAnsiTheme="minorHAnsi"/>
                <w:sz w:val="22"/>
                <w:szCs w:val="22"/>
              </w:rPr>
            </w:pPr>
          </w:p>
        </w:tc>
        <w:tc>
          <w:tcPr>
            <w:tcW w:w="1260" w:type="dxa"/>
            <w:vAlign w:val="bottom"/>
          </w:tcPr>
          <w:p w:rsidR="006C3095" w:rsidRPr="0082723A" w:rsidRDefault="006C3095" w:rsidP="006C3095">
            <w:pPr>
              <w:rPr>
                <w:rFonts w:asciiTheme="minorHAnsi" w:hAnsiTheme="minorHAnsi"/>
                <w:sz w:val="22"/>
                <w:szCs w:val="22"/>
              </w:rPr>
            </w:pPr>
            <w:r w:rsidRPr="0082723A">
              <w:rPr>
                <w:rFonts w:asciiTheme="minorHAnsi" w:hAnsiTheme="minorHAnsi"/>
                <w:sz w:val="22"/>
                <w:szCs w:val="22"/>
              </w:rPr>
              <w:t>Date</w:t>
            </w:r>
          </w:p>
        </w:tc>
        <w:tc>
          <w:tcPr>
            <w:tcW w:w="2808" w:type="dxa"/>
            <w:tcBorders>
              <w:bottom w:val="single" w:sz="4" w:space="0" w:color="auto"/>
            </w:tcBorders>
            <w:vAlign w:val="bottom"/>
          </w:tcPr>
          <w:p w:rsidR="006C3095" w:rsidRPr="0082723A" w:rsidRDefault="006C3095" w:rsidP="006C3095">
            <w:pPr>
              <w:rPr>
                <w:rFonts w:asciiTheme="minorHAnsi" w:hAnsiTheme="minorHAnsi"/>
                <w:sz w:val="22"/>
                <w:szCs w:val="22"/>
              </w:rPr>
            </w:pPr>
          </w:p>
        </w:tc>
      </w:tr>
      <w:tr w:rsidR="006C3095" w:rsidRPr="0082723A" w:rsidTr="004200C6">
        <w:trPr>
          <w:trHeight w:val="432"/>
        </w:trPr>
        <w:tc>
          <w:tcPr>
            <w:tcW w:w="1638" w:type="dxa"/>
            <w:vAlign w:val="bottom"/>
          </w:tcPr>
          <w:p w:rsidR="006C3095" w:rsidRPr="0082723A" w:rsidRDefault="006C3095" w:rsidP="006C3095">
            <w:pPr>
              <w:rPr>
                <w:rFonts w:asciiTheme="minorHAnsi" w:hAnsiTheme="minorHAnsi"/>
                <w:sz w:val="22"/>
                <w:szCs w:val="22"/>
              </w:rPr>
            </w:pPr>
            <w:r w:rsidRPr="0082723A">
              <w:rPr>
                <w:rFonts w:asciiTheme="minorHAnsi" w:hAnsiTheme="minorHAnsi"/>
                <w:sz w:val="22"/>
                <w:szCs w:val="22"/>
              </w:rPr>
              <w:t>Print Name</w:t>
            </w:r>
          </w:p>
          <w:p w:rsidR="006C3095" w:rsidRPr="0082723A" w:rsidRDefault="006C3095" w:rsidP="006C3095">
            <w:pPr>
              <w:rPr>
                <w:rFonts w:asciiTheme="minorHAnsi" w:hAnsiTheme="minorHAnsi"/>
                <w:sz w:val="22"/>
                <w:szCs w:val="22"/>
              </w:rPr>
            </w:pPr>
            <w:r w:rsidRPr="0082723A">
              <w:rPr>
                <w:rFonts w:asciiTheme="minorHAnsi" w:hAnsiTheme="minorHAnsi"/>
                <w:sz w:val="22"/>
                <w:szCs w:val="22"/>
              </w:rPr>
              <w:t>of Researcher</w:t>
            </w:r>
          </w:p>
        </w:tc>
        <w:tc>
          <w:tcPr>
            <w:tcW w:w="3870" w:type="dxa"/>
            <w:tcBorders>
              <w:top w:val="single" w:sz="4" w:space="0" w:color="auto"/>
              <w:bottom w:val="single" w:sz="4" w:space="0" w:color="auto"/>
            </w:tcBorders>
            <w:vAlign w:val="bottom"/>
          </w:tcPr>
          <w:p w:rsidR="006C3095" w:rsidRPr="0082723A" w:rsidRDefault="006C3095" w:rsidP="006C3095">
            <w:pPr>
              <w:rPr>
                <w:rFonts w:asciiTheme="minorHAnsi" w:hAnsiTheme="minorHAnsi"/>
                <w:sz w:val="22"/>
                <w:szCs w:val="22"/>
              </w:rPr>
            </w:pPr>
          </w:p>
        </w:tc>
        <w:tc>
          <w:tcPr>
            <w:tcW w:w="1260" w:type="dxa"/>
            <w:vAlign w:val="bottom"/>
          </w:tcPr>
          <w:p w:rsidR="006C3095" w:rsidRPr="0082723A" w:rsidRDefault="006C3095" w:rsidP="006C3095">
            <w:pPr>
              <w:rPr>
                <w:rFonts w:asciiTheme="minorHAnsi" w:hAnsiTheme="minorHAnsi"/>
                <w:sz w:val="22"/>
                <w:szCs w:val="22"/>
              </w:rPr>
            </w:pPr>
            <w:r w:rsidRPr="0082723A">
              <w:rPr>
                <w:rFonts w:asciiTheme="minorHAnsi" w:hAnsiTheme="minorHAnsi"/>
                <w:sz w:val="22"/>
                <w:szCs w:val="22"/>
              </w:rPr>
              <w:t>Dept</w:t>
            </w:r>
          </w:p>
        </w:tc>
        <w:tc>
          <w:tcPr>
            <w:tcW w:w="2808" w:type="dxa"/>
            <w:tcBorders>
              <w:top w:val="single" w:sz="4" w:space="0" w:color="auto"/>
              <w:bottom w:val="single" w:sz="4" w:space="0" w:color="auto"/>
            </w:tcBorders>
            <w:vAlign w:val="bottom"/>
          </w:tcPr>
          <w:p w:rsidR="006C3095" w:rsidRPr="0082723A" w:rsidRDefault="006C3095" w:rsidP="006C3095">
            <w:pPr>
              <w:rPr>
                <w:rFonts w:asciiTheme="minorHAnsi" w:hAnsiTheme="minorHAnsi"/>
                <w:sz w:val="22"/>
                <w:szCs w:val="22"/>
              </w:rPr>
            </w:pPr>
          </w:p>
        </w:tc>
      </w:tr>
      <w:tr w:rsidR="006C3095" w:rsidRPr="0082723A" w:rsidTr="004200C6">
        <w:trPr>
          <w:trHeight w:val="432"/>
        </w:trPr>
        <w:tc>
          <w:tcPr>
            <w:tcW w:w="1638" w:type="dxa"/>
            <w:vAlign w:val="bottom"/>
          </w:tcPr>
          <w:p w:rsidR="006C3095" w:rsidRPr="0082723A" w:rsidRDefault="006C3095" w:rsidP="006C3095">
            <w:pPr>
              <w:rPr>
                <w:rFonts w:asciiTheme="minorHAnsi" w:hAnsiTheme="minorHAnsi"/>
                <w:sz w:val="22"/>
                <w:szCs w:val="22"/>
              </w:rPr>
            </w:pPr>
            <w:r w:rsidRPr="0082723A">
              <w:rPr>
                <w:rFonts w:asciiTheme="minorHAnsi" w:hAnsiTheme="minorHAnsi"/>
                <w:sz w:val="22"/>
                <w:szCs w:val="22"/>
              </w:rPr>
              <w:t>Project Title</w:t>
            </w:r>
          </w:p>
        </w:tc>
        <w:tc>
          <w:tcPr>
            <w:tcW w:w="7938" w:type="dxa"/>
            <w:gridSpan w:val="3"/>
            <w:tcBorders>
              <w:bottom w:val="single" w:sz="4" w:space="0" w:color="auto"/>
            </w:tcBorders>
            <w:vAlign w:val="bottom"/>
          </w:tcPr>
          <w:p w:rsidR="006C3095" w:rsidRPr="0082723A" w:rsidRDefault="006C3095" w:rsidP="006C3095">
            <w:pPr>
              <w:rPr>
                <w:rFonts w:asciiTheme="minorHAnsi" w:hAnsiTheme="minorHAnsi"/>
                <w:sz w:val="22"/>
                <w:szCs w:val="22"/>
              </w:rPr>
            </w:pPr>
          </w:p>
        </w:tc>
      </w:tr>
      <w:tr w:rsidR="006C3095" w:rsidRPr="0082723A" w:rsidTr="004200C6">
        <w:trPr>
          <w:trHeight w:val="432"/>
        </w:trPr>
        <w:tc>
          <w:tcPr>
            <w:tcW w:w="1638" w:type="dxa"/>
            <w:vAlign w:val="bottom"/>
          </w:tcPr>
          <w:p w:rsidR="006C3095" w:rsidRPr="0082723A" w:rsidRDefault="006C3095" w:rsidP="006C3095">
            <w:pPr>
              <w:rPr>
                <w:rFonts w:asciiTheme="minorHAnsi" w:hAnsiTheme="minorHAnsi"/>
                <w:sz w:val="22"/>
                <w:szCs w:val="22"/>
              </w:rPr>
            </w:pPr>
            <w:r w:rsidRPr="0082723A">
              <w:rPr>
                <w:rFonts w:asciiTheme="minorHAnsi" w:hAnsiTheme="minorHAnsi"/>
                <w:sz w:val="22"/>
                <w:szCs w:val="22"/>
              </w:rPr>
              <w:t>Sponsor</w:t>
            </w:r>
          </w:p>
        </w:tc>
        <w:tc>
          <w:tcPr>
            <w:tcW w:w="3870" w:type="dxa"/>
            <w:tcBorders>
              <w:top w:val="single" w:sz="4" w:space="0" w:color="auto"/>
              <w:bottom w:val="single" w:sz="4" w:space="0" w:color="auto"/>
            </w:tcBorders>
            <w:vAlign w:val="bottom"/>
          </w:tcPr>
          <w:p w:rsidR="006C3095" w:rsidRPr="0082723A" w:rsidRDefault="006C3095" w:rsidP="006C3095">
            <w:pPr>
              <w:rPr>
                <w:rFonts w:asciiTheme="minorHAnsi" w:hAnsiTheme="minorHAnsi"/>
                <w:sz w:val="22"/>
                <w:szCs w:val="22"/>
              </w:rPr>
            </w:pPr>
          </w:p>
        </w:tc>
        <w:tc>
          <w:tcPr>
            <w:tcW w:w="1260" w:type="dxa"/>
            <w:tcBorders>
              <w:top w:val="single" w:sz="4" w:space="0" w:color="auto"/>
            </w:tcBorders>
            <w:vAlign w:val="bottom"/>
          </w:tcPr>
          <w:p w:rsidR="006C3095" w:rsidRPr="0082723A" w:rsidRDefault="006C3095" w:rsidP="006C3095">
            <w:pPr>
              <w:rPr>
                <w:rFonts w:asciiTheme="minorHAnsi" w:hAnsiTheme="minorHAnsi"/>
                <w:sz w:val="22"/>
                <w:szCs w:val="22"/>
              </w:rPr>
            </w:pPr>
            <w:r w:rsidRPr="0082723A">
              <w:rPr>
                <w:rFonts w:asciiTheme="minorHAnsi" w:hAnsiTheme="minorHAnsi"/>
                <w:sz w:val="22"/>
                <w:szCs w:val="22"/>
              </w:rPr>
              <w:t>Proposal/</w:t>
            </w:r>
          </w:p>
          <w:p w:rsidR="006C3095" w:rsidRPr="0082723A" w:rsidRDefault="006C3095" w:rsidP="006C3095">
            <w:pPr>
              <w:rPr>
                <w:rFonts w:asciiTheme="minorHAnsi" w:hAnsiTheme="minorHAnsi"/>
                <w:sz w:val="22"/>
                <w:szCs w:val="22"/>
              </w:rPr>
            </w:pPr>
            <w:r w:rsidRPr="0082723A">
              <w:rPr>
                <w:rFonts w:asciiTheme="minorHAnsi" w:hAnsiTheme="minorHAnsi"/>
                <w:sz w:val="22"/>
                <w:szCs w:val="22"/>
              </w:rPr>
              <w:t>Account #</w:t>
            </w:r>
          </w:p>
        </w:tc>
        <w:tc>
          <w:tcPr>
            <w:tcW w:w="2808" w:type="dxa"/>
            <w:tcBorders>
              <w:top w:val="single" w:sz="4" w:space="0" w:color="auto"/>
              <w:bottom w:val="single" w:sz="4" w:space="0" w:color="auto"/>
            </w:tcBorders>
            <w:vAlign w:val="bottom"/>
          </w:tcPr>
          <w:p w:rsidR="006C3095" w:rsidRPr="0082723A" w:rsidRDefault="006C3095" w:rsidP="006C3095">
            <w:pPr>
              <w:rPr>
                <w:rFonts w:asciiTheme="minorHAnsi" w:hAnsiTheme="minorHAnsi"/>
                <w:sz w:val="22"/>
                <w:szCs w:val="22"/>
              </w:rPr>
            </w:pPr>
          </w:p>
        </w:tc>
      </w:tr>
    </w:tbl>
    <w:p w:rsidR="00B76283" w:rsidRPr="0082723A" w:rsidRDefault="00B76283" w:rsidP="00E402E5">
      <w:pPr>
        <w:jc w:val="both"/>
        <w:rPr>
          <w:rFonts w:asciiTheme="minorHAnsi" w:hAnsiTheme="minorHAnsi"/>
          <w:sz w:val="22"/>
          <w:szCs w:val="22"/>
        </w:rPr>
      </w:pPr>
      <w:r w:rsidRPr="0082723A">
        <w:rPr>
          <w:rFonts w:asciiTheme="minorHAnsi" w:hAnsiTheme="minorHAnsi"/>
          <w:sz w:val="22"/>
          <w:szCs w:val="22"/>
        </w:rPr>
        <w:t xml:space="preserve">  </w:t>
      </w:r>
    </w:p>
    <w:p w:rsidR="003E50A1" w:rsidRPr="0082723A" w:rsidRDefault="003E50A1" w:rsidP="00E402E5">
      <w:pPr>
        <w:autoSpaceDE w:val="0"/>
        <w:autoSpaceDN w:val="0"/>
        <w:adjustRightInd w:val="0"/>
        <w:jc w:val="both"/>
        <w:rPr>
          <w:rFonts w:asciiTheme="minorHAnsi" w:hAnsiTheme="minorHAnsi"/>
          <w:sz w:val="22"/>
          <w:szCs w:val="22"/>
        </w:rPr>
      </w:pPr>
    </w:p>
    <w:p w:rsidR="003E50A1" w:rsidRPr="0082723A" w:rsidRDefault="003E50A1" w:rsidP="00E402E5">
      <w:pPr>
        <w:autoSpaceDE w:val="0"/>
        <w:autoSpaceDN w:val="0"/>
        <w:adjustRightInd w:val="0"/>
        <w:jc w:val="both"/>
        <w:rPr>
          <w:rFonts w:asciiTheme="minorHAnsi" w:hAnsiTheme="minorHAnsi"/>
          <w:sz w:val="22"/>
          <w:szCs w:val="22"/>
        </w:rPr>
      </w:pPr>
      <w:r w:rsidRPr="0082723A">
        <w:rPr>
          <w:rFonts w:asciiTheme="minorHAnsi" w:hAnsiTheme="minorHAnsi"/>
          <w:sz w:val="22"/>
          <w:szCs w:val="22"/>
        </w:rPr>
        <w:t>Send completed form to</w:t>
      </w:r>
      <w:r w:rsidR="0082723A" w:rsidRPr="0082723A">
        <w:rPr>
          <w:rFonts w:asciiTheme="minorHAnsi" w:hAnsiTheme="minorHAnsi"/>
          <w:sz w:val="22"/>
          <w:szCs w:val="22"/>
        </w:rPr>
        <w:t xml:space="preserve"> </w:t>
      </w:r>
      <w:r w:rsidR="00D75A1A">
        <w:rPr>
          <w:rFonts w:asciiTheme="minorHAnsi" w:hAnsiTheme="minorHAnsi"/>
          <w:sz w:val="22"/>
          <w:szCs w:val="22"/>
        </w:rPr>
        <w:t>the Office of Research Integrity &amp; Assurance</w:t>
      </w:r>
      <w:r w:rsidRPr="0082723A">
        <w:rPr>
          <w:rFonts w:asciiTheme="minorHAnsi" w:hAnsiTheme="minorHAnsi"/>
          <w:sz w:val="22"/>
          <w:szCs w:val="22"/>
        </w:rPr>
        <w:t xml:space="preserve">, or campus mail code </w:t>
      </w:r>
      <w:r w:rsidR="00BF6E88">
        <w:rPr>
          <w:rFonts w:asciiTheme="minorHAnsi" w:hAnsiTheme="minorHAnsi"/>
          <w:sz w:val="22"/>
          <w:szCs w:val="22"/>
        </w:rPr>
        <w:t>6111</w:t>
      </w:r>
      <w:r w:rsidRPr="0082723A">
        <w:rPr>
          <w:rFonts w:asciiTheme="minorHAnsi" w:hAnsiTheme="minorHAnsi"/>
          <w:sz w:val="22"/>
          <w:szCs w:val="22"/>
        </w:rPr>
        <w:t>.  Keep a copy for your project file. (Note: Government regulations require that all records be kept for five years.)</w:t>
      </w:r>
    </w:p>
    <w:p w:rsidR="00E402E5" w:rsidRPr="0082723A" w:rsidRDefault="00E402E5" w:rsidP="00E402E5">
      <w:pPr>
        <w:autoSpaceDE w:val="0"/>
        <w:autoSpaceDN w:val="0"/>
        <w:adjustRightInd w:val="0"/>
        <w:jc w:val="both"/>
        <w:rPr>
          <w:rFonts w:asciiTheme="minorHAnsi" w:hAnsiTheme="minorHAnsi"/>
          <w:sz w:val="22"/>
          <w:szCs w:val="22"/>
        </w:rPr>
      </w:pPr>
    </w:p>
    <w:p w:rsidR="003E50A1" w:rsidRPr="0082723A" w:rsidRDefault="003E50A1" w:rsidP="00E402E5">
      <w:pPr>
        <w:autoSpaceDE w:val="0"/>
        <w:autoSpaceDN w:val="0"/>
        <w:adjustRightInd w:val="0"/>
        <w:jc w:val="both"/>
        <w:rPr>
          <w:rFonts w:asciiTheme="minorHAnsi" w:hAnsiTheme="minorHAnsi"/>
          <w:sz w:val="22"/>
          <w:szCs w:val="22"/>
        </w:rPr>
      </w:pPr>
      <w:r w:rsidRPr="0082723A">
        <w:rPr>
          <w:rFonts w:asciiTheme="minorHAnsi" w:hAnsiTheme="minorHAnsi"/>
          <w:sz w:val="22"/>
          <w:szCs w:val="22"/>
        </w:rPr>
        <w:t xml:space="preserve">For questions about this form or other export matters contact </w:t>
      </w:r>
      <w:hyperlink r:id="rId15" w:history="1">
        <w:r w:rsidR="00D75A1A">
          <w:rPr>
            <w:rStyle w:val="Hyperlink"/>
            <w:rFonts w:asciiTheme="minorHAnsi" w:hAnsiTheme="minorHAnsi"/>
            <w:sz w:val="22"/>
            <w:szCs w:val="22"/>
          </w:rPr>
          <w:t>ORIA</w:t>
        </w:r>
      </w:hyperlink>
      <w:r w:rsidRPr="0082723A">
        <w:rPr>
          <w:rFonts w:asciiTheme="minorHAnsi" w:hAnsiTheme="minorHAnsi"/>
          <w:sz w:val="22"/>
          <w:szCs w:val="22"/>
        </w:rPr>
        <w:t>.</w:t>
      </w:r>
      <w:r w:rsidR="004B60DC" w:rsidRPr="0082723A">
        <w:rPr>
          <w:rFonts w:asciiTheme="minorHAnsi" w:hAnsiTheme="minorHAnsi"/>
          <w:sz w:val="22"/>
          <w:szCs w:val="22"/>
        </w:rPr>
        <w:br w:type="page"/>
      </w:r>
    </w:p>
    <w:p w:rsidR="003E50A1" w:rsidRPr="0082723A" w:rsidRDefault="003E50A1" w:rsidP="00E402E5">
      <w:pPr>
        <w:autoSpaceDE w:val="0"/>
        <w:autoSpaceDN w:val="0"/>
        <w:adjustRightInd w:val="0"/>
        <w:jc w:val="both"/>
        <w:rPr>
          <w:rFonts w:asciiTheme="minorHAnsi" w:hAnsiTheme="minorHAnsi"/>
          <w:sz w:val="22"/>
          <w:szCs w:val="22"/>
        </w:rPr>
      </w:pPr>
    </w:p>
    <w:p w:rsidR="0082723A" w:rsidRDefault="0082723A" w:rsidP="00E402E5">
      <w:pPr>
        <w:autoSpaceDE w:val="0"/>
        <w:autoSpaceDN w:val="0"/>
        <w:adjustRightInd w:val="0"/>
        <w:jc w:val="both"/>
        <w:rPr>
          <w:rFonts w:asciiTheme="minorHAnsi" w:hAnsiTheme="minorHAnsi" w:cs="Arial"/>
          <w:b/>
          <w:bCs/>
          <w:sz w:val="21"/>
          <w:szCs w:val="21"/>
        </w:rPr>
      </w:pPr>
    </w:p>
    <w:p w:rsidR="00D75A1A" w:rsidRPr="00D75A1A" w:rsidRDefault="00D75A1A" w:rsidP="00D75A1A">
      <w:pPr>
        <w:autoSpaceDE w:val="0"/>
        <w:autoSpaceDN w:val="0"/>
        <w:adjustRightInd w:val="0"/>
        <w:jc w:val="center"/>
        <w:rPr>
          <w:rFonts w:asciiTheme="minorHAnsi" w:hAnsiTheme="minorHAnsi" w:cs="Arial"/>
          <w:b/>
          <w:bCs/>
          <w:sz w:val="21"/>
          <w:szCs w:val="21"/>
          <w:u w:val="single"/>
        </w:rPr>
      </w:pPr>
      <w:r w:rsidRPr="00D75A1A">
        <w:rPr>
          <w:rFonts w:asciiTheme="minorHAnsi" w:hAnsiTheme="minorHAnsi" w:cs="Arial"/>
          <w:b/>
          <w:bCs/>
          <w:sz w:val="21"/>
          <w:szCs w:val="21"/>
          <w:u w:val="single"/>
        </w:rPr>
        <w:t>GUIDELINES FOR THE PROTECTIVE SECURITY OF TECHNICAL INFORMATION/DATA, MATERIALS</w:t>
      </w:r>
    </w:p>
    <w:p w:rsidR="004B60DC" w:rsidRPr="00D75A1A" w:rsidRDefault="00D75A1A" w:rsidP="00D75A1A">
      <w:pPr>
        <w:autoSpaceDE w:val="0"/>
        <w:autoSpaceDN w:val="0"/>
        <w:adjustRightInd w:val="0"/>
        <w:jc w:val="center"/>
        <w:rPr>
          <w:rFonts w:asciiTheme="minorHAnsi" w:hAnsiTheme="minorHAnsi" w:cs="Arial"/>
          <w:b/>
          <w:bCs/>
          <w:sz w:val="21"/>
          <w:szCs w:val="21"/>
          <w:u w:val="single"/>
        </w:rPr>
      </w:pPr>
      <w:r w:rsidRPr="00D75A1A">
        <w:rPr>
          <w:rFonts w:asciiTheme="minorHAnsi" w:hAnsiTheme="minorHAnsi" w:cs="Arial"/>
          <w:b/>
          <w:bCs/>
          <w:sz w:val="21"/>
          <w:szCs w:val="21"/>
          <w:u w:val="single"/>
        </w:rPr>
        <w:t>AND EQUIPMENT THAT ARE EXPORT CONTROLLED.</w:t>
      </w:r>
    </w:p>
    <w:p w:rsidR="004B60DC" w:rsidRPr="0082723A" w:rsidRDefault="004B60DC" w:rsidP="00E402E5">
      <w:pPr>
        <w:autoSpaceDE w:val="0"/>
        <w:autoSpaceDN w:val="0"/>
        <w:adjustRightInd w:val="0"/>
        <w:jc w:val="both"/>
        <w:rPr>
          <w:rFonts w:asciiTheme="minorHAnsi" w:hAnsiTheme="minorHAnsi" w:cs="Arial"/>
          <w:b/>
          <w:bCs/>
          <w:sz w:val="21"/>
          <w:szCs w:val="21"/>
        </w:rPr>
      </w:pPr>
    </w:p>
    <w:p w:rsidR="004B60DC" w:rsidRPr="0082723A" w:rsidRDefault="004B60DC" w:rsidP="00E402E5">
      <w:pPr>
        <w:autoSpaceDE w:val="0"/>
        <w:autoSpaceDN w:val="0"/>
        <w:adjustRightInd w:val="0"/>
        <w:jc w:val="both"/>
        <w:rPr>
          <w:rFonts w:asciiTheme="minorHAnsi" w:hAnsiTheme="minorHAnsi" w:cs="Arial"/>
          <w:sz w:val="21"/>
          <w:szCs w:val="21"/>
        </w:rPr>
      </w:pPr>
      <w:r w:rsidRPr="0082723A">
        <w:rPr>
          <w:rFonts w:asciiTheme="minorHAnsi" w:hAnsiTheme="minorHAnsi" w:cs="Arial"/>
          <w:sz w:val="21"/>
          <w:szCs w:val="21"/>
        </w:rPr>
        <w:t>Project security is the responsibility of the Principal Investigator (PI). Specifically, technical information, data, materials, software or hardware, i.e., technology, generated from export controlled contract or subcontract will be secured from use and observation by non-U.S. citizens. Examples of some methods to provide this security are as follows:</w:t>
      </w:r>
    </w:p>
    <w:p w:rsidR="004B60DC" w:rsidRPr="0082723A" w:rsidRDefault="004B60DC" w:rsidP="00E402E5">
      <w:pPr>
        <w:autoSpaceDE w:val="0"/>
        <w:autoSpaceDN w:val="0"/>
        <w:adjustRightInd w:val="0"/>
        <w:jc w:val="both"/>
        <w:rPr>
          <w:rFonts w:asciiTheme="minorHAnsi" w:hAnsiTheme="minorHAnsi" w:cs="Arial"/>
          <w:sz w:val="21"/>
          <w:szCs w:val="21"/>
        </w:rPr>
      </w:pPr>
    </w:p>
    <w:p w:rsidR="0082723A" w:rsidRPr="0082723A" w:rsidRDefault="004B60DC" w:rsidP="0082723A">
      <w:pPr>
        <w:numPr>
          <w:ilvl w:val="0"/>
          <w:numId w:val="2"/>
        </w:numPr>
        <w:autoSpaceDE w:val="0"/>
        <w:autoSpaceDN w:val="0"/>
        <w:adjustRightInd w:val="0"/>
        <w:jc w:val="both"/>
        <w:rPr>
          <w:rFonts w:asciiTheme="minorHAnsi" w:hAnsiTheme="minorHAnsi" w:cs="Arial"/>
          <w:sz w:val="21"/>
          <w:szCs w:val="21"/>
        </w:rPr>
      </w:pPr>
      <w:r w:rsidRPr="0082723A">
        <w:rPr>
          <w:rFonts w:asciiTheme="minorHAnsi" w:hAnsiTheme="minorHAnsi" w:cs="Arial"/>
          <w:b/>
          <w:sz w:val="21"/>
          <w:szCs w:val="21"/>
        </w:rPr>
        <w:t>Project Personnel</w:t>
      </w:r>
      <w:r w:rsidRPr="0082723A">
        <w:rPr>
          <w:rFonts w:asciiTheme="minorHAnsi" w:hAnsiTheme="minorHAnsi" w:cs="Arial"/>
          <w:sz w:val="21"/>
          <w:szCs w:val="21"/>
        </w:rPr>
        <w:t xml:space="preserve"> – The use of security badges may be necessary as an aid to identify personnel whose access to project facilities and work in progress is authorized.</w:t>
      </w:r>
    </w:p>
    <w:p w:rsidR="004B60DC" w:rsidRPr="0082723A" w:rsidRDefault="004B60DC" w:rsidP="0082723A">
      <w:pPr>
        <w:numPr>
          <w:ilvl w:val="0"/>
          <w:numId w:val="2"/>
        </w:numPr>
        <w:autoSpaceDE w:val="0"/>
        <w:autoSpaceDN w:val="0"/>
        <w:adjustRightInd w:val="0"/>
        <w:jc w:val="both"/>
        <w:rPr>
          <w:rFonts w:asciiTheme="minorHAnsi" w:hAnsiTheme="minorHAnsi" w:cs="Arial"/>
          <w:sz w:val="21"/>
          <w:szCs w:val="21"/>
        </w:rPr>
      </w:pPr>
      <w:r w:rsidRPr="0082723A">
        <w:rPr>
          <w:rFonts w:asciiTheme="minorHAnsi" w:hAnsiTheme="minorHAnsi" w:cs="Arial"/>
          <w:b/>
          <w:sz w:val="21"/>
          <w:szCs w:val="21"/>
        </w:rPr>
        <w:t>Laboratory “work in progress”</w:t>
      </w:r>
      <w:r w:rsidRPr="0082723A">
        <w:rPr>
          <w:rFonts w:asciiTheme="minorHAnsi" w:hAnsiTheme="minorHAnsi" w:cs="Arial"/>
          <w:sz w:val="21"/>
          <w:szCs w:val="21"/>
        </w:rPr>
        <w:t xml:space="preserve"> – Project data and/or materials must be physically shielded from observation by unauthorized individual by operating in secured laboratory spaces, or during secure time blocks when observation by unauthorized persons is prevented.</w:t>
      </w:r>
    </w:p>
    <w:p w:rsidR="004B60DC" w:rsidRPr="0082723A" w:rsidRDefault="004B60DC" w:rsidP="0082723A">
      <w:pPr>
        <w:numPr>
          <w:ilvl w:val="0"/>
          <w:numId w:val="2"/>
        </w:numPr>
        <w:autoSpaceDE w:val="0"/>
        <w:autoSpaceDN w:val="0"/>
        <w:adjustRightInd w:val="0"/>
        <w:jc w:val="both"/>
        <w:rPr>
          <w:rFonts w:asciiTheme="minorHAnsi" w:hAnsiTheme="minorHAnsi" w:cs="Arial"/>
          <w:sz w:val="21"/>
          <w:szCs w:val="21"/>
        </w:rPr>
      </w:pPr>
      <w:r w:rsidRPr="0082723A">
        <w:rPr>
          <w:rFonts w:asciiTheme="minorHAnsi" w:hAnsiTheme="minorHAnsi" w:cs="Arial"/>
          <w:b/>
          <w:sz w:val="21"/>
          <w:szCs w:val="21"/>
        </w:rPr>
        <w:t>Work Products</w:t>
      </w:r>
      <w:r w:rsidRPr="0082723A">
        <w:rPr>
          <w:rFonts w:asciiTheme="minorHAnsi" w:hAnsiTheme="minorHAnsi" w:cs="Arial"/>
          <w:sz w:val="21"/>
          <w:szCs w:val="21"/>
        </w:rPr>
        <w:t xml:space="preserve"> – Both soft and hardcopy data, lab notebooks, reports, and research materials are stored in locked cabinets, preferably located in rooms with key – controlled access.</w:t>
      </w:r>
    </w:p>
    <w:p w:rsidR="004B60DC" w:rsidRPr="0082723A" w:rsidRDefault="004B60DC" w:rsidP="0082723A">
      <w:pPr>
        <w:numPr>
          <w:ilvl w:val="0"/>
          <w:numId w:val="2"/>
        </w:numPr>
        <w:autoSpaceDE w:val="0"/>
        <w:autoSpaceDN w:val="0"/>
        <w:adjustRightInd w:val="0"/>
        <w:jc w:val="both"/>
        <w:rPr>
          <w:rFonts w:asciiTheme="minorHAnsi" w:hAnsiTheme="minorHAnsi" w:cs="Arial"/>
          <w:sz w:val="21"/>
          <w:szCs w:val="21"/>
        </w:rPr>
      </w:pPr>
      <w:r w:rsidRPr="0082723A">
        <w:rPr>
          <w:rFonts w:asciiTheme="minorHAnsi" w:hAnsiTheme="minorHAnsi" w:cs="Arial"/>
          <w:b/>
          <w:sz w:val="21"/>
          <w:szCs w:val="21"/>
        </w:rPr>
        <w:t>Equipment or internal components</w:t>
      </w:r>
      <w:r w:rsidRPr="0082723A">
        <w:rPr>
          <w:rFonts w:asciiTheme="minorHAnsi" w:hAnsiTheme="minorHAnsi" w:cs="Arial"/>
          <w:sz w:val="21"/>
          <w:szCs w:val="21"/>
        </w:rPr>
        <w:t xml:space="preserve"> – Such tangible items and associated operating manuals and schematic diagrams containing identified “export controlled” technology are to be physically secured from unauthorized access.</w:t>
      </w:r>
    </w:p>
    <w:p w:rsidR="004B60DC" w:rsidRPr="0082723A" w:rsidRDefault="004B60DC" w:rsidP="0082723A">
      <w:pPr>
        <w:numPr>
          <w:ilvl w:val="0"/>
          <w:numId w:val="2"/>
        </w:numPr>
        <w:autoSpaceDE w:val="0"/>
        <w:autoSpaceDN w:val="0"/>
        <w:adjustRightInd w:val="0"/>
        <w:jc w:val="both"/>
        <w:rPr>
          <w:rFonts w:asciiTheme="minorHAnsi" w:hAnsiTheme="minorHAnsi" w:cs="Arial"/>
          <w:sz w:val="21"/>
          <w:szCs w:val="21"/>
        </w:rPr>
      </w:pPr>
      <w:r w:rsidRPr="0082723A">
        <w:rPr>
          <w:rFonts w:asciiTheme="minorHAnsi" w:hAnsiTheme="minorHAnsi" w:cs="Arial"/>
          <w:b/>
          <w:sz w:val="21"/>
          <w:szCs w:val="21"/>
        </w:rPr>
        <w:t>Electronic communications and databases</w:t>
      </w:r>
      <w:r w:rsidRPr="0082723A">
        <w:rPr>
          <w:rFonts w:asciiTheme="minorHAnsi" w:hAnsiTheme="minorHAnsi" w:cs="Arial"/>
          <w:sz w:val="21"/>
          <w:szCs w:val="21"/>
        </w:rPr>
        <w:t xml:space="preserve"> – Database access will be managed via a Virtual Private Network (VPN). Only authorized user</w:t>
      </w:r>
      <w:r w:rsidR="00B341A8" w:rsidRPr="0082723A">
        <w:rPr>
          <w:rFonts w:asciiTheme="minorHAnsi" w:hAnsiTheme="minorHAnsi" w:cs="Arial"/>
          <w:sz w:val="21"/>
          <w:szCs w:val="21"/>
        </w:rPr>
        <w:t>s</w:t>
      </w:r>
      <w:r w:rsidRPr="0082723A">
        <w:rPr>
          <w:rFonts w:asciiTheme="minorHAnsi" w:hAnsiTheme="minorHAnsi" w:cs="Arial"/>
          <w:sz w:val="21"/>
          <w:szCs w:val="21"/>
        </w:rPr>
        <w:t xml:space="preserve"> can access the site and all transmissions of data over </w:t>
      </w:r>
      <w:r w:rsidR="00B341A8" w:rsidRPr="0082723A">
        <w:rPr>
          <w:rFonts w:asciiTheme="minorHAnsi" w:hAnsiTheme="minorHAnsi" w:cs="Arial"/>
          <w:sz w:val="21"/>
          <w:szCs w:val="21"/>
        </w:rPr>
        <w:t xml:space="preserve">the </w:t>
      </w:r>
      <w:r w:rsidRPr="0082723A">
        <w:rPr>
          <w:rFonts w:asciiTheme="minorHAnsi" w:hAnsiTheme="minorHAnsi" w:cs="Arial"/>
          <w:sz w:val="21"/>
          <w:szCs w:val="21"/>
        </w:rPr>
        <w:t>internet will be encrypted using federally approved encryption technology. Communications via telephone must have similar encryption capability.</w:t>
      </w:r>
    </w:p>
    <w:p w:rsidR="004B60DC" w:rsidRPr="0082723A" w:rsidRDefault="004B60DC" w:rsidP="0082723A">
      <w:pPr>
        <w:numPr>
          <w:ilvl w:val="0"/>
          <w:numId w:val="2"/>
        </w:numPr>
        <w:autoSpaceDE w:val="0"/>
        <w:autoSpaceDN w:val="0"/>
        <w:adjustRightInd w:val="0"/>
        <w:jc w:val="both"/>
        <w:rPr>
          <w:rFonts w:asciiTheme="minorHAnsi" w:hAnsiTheme="minorHAnsi" w:cs="Arial"/>
          <w:sz w:val="21"/>
          <w:szCs w:val="21"/>
        </w:rPr>
      </w:pPr>
      <w:r w:rsidRPr="0082723A">
        <w:rPr>
          <w:rFonts w:asciiTheme="minorHAnsi" w:hAnsiTheme="minorHAnsi" w:cs="Arial"/>
          <w:b/>
          <w:sz w:val="21"/>
          <w:szCs w:val="21"/>
        </w:rPr>
        <w:t>Conversations</w:t>
      </w:r>
      <w:r w:rsidRPr="0082723A">
        <w:rPr>
          <w:rFonts w:asciiTheme="minorHAnsi" w:hAnsiTheme="minorHAnsi" w:cs="Arial"/>
          <w:sz w:val="21"/>
          <w:szCs w:val="21"/>
        </w:rPr>
        <w:t xml:space="preserve"> – Discussions about the project or work products are limited to the identified contributing investigators and are held only in areas where unauthorized personnel are not present. Discussions with third party sub-contractors are only conducted under signed confidentiality agreements and fully respect the Non-U.S. limitations for such disclosures.  </w:t>
      </w:r>
    </w:p>
    <w:p w:rsidR="0082723A" w:rsidRPr="0082723A" w:rsidRDefault="0082723A" w:rsidP="0082723A">
      <w:pPr>
        <w:autoSpaceDE w:val="0"/>
        <w:autoSpaceDN w:val="0"/>
        <w:adjustRightInd w:val="0"/>
        <w:jc w:val="both"/>
        <w:rPr>
          <w:rFonts w:asciiTheme="minorHAnsi" w:hAnsiTheme="minorHAnsi" w:cs="Arial"/>
          <w:sz w:val="21"/>
          <w:szCs w:val="21"/>
        </w:rPr>
      </w:pPr>
    </w:p>
    <w:p w:rsidR="004B60DC" w:rsidRPr="0082723A" w:rsidRDefault="004B60DC" w:rsidP="00E402E5">
      <w:pPr>
        <w:autoSpaceDE w:val="0"/>
        <w:autoSpaceDN w:val="0"/>
        <w:adjustRightInd w:val="0"/>
        <w:spacing w:after="240"/>
        <w:ind w:left="720"/>
        <w:jc w:val="both"/>
        <w:rPr>
          <w:rFonts w:asciiTheme="minorHAnsi" w:hAnsiTheme="minorHAnsi" w:cs="Arial"/>
          <w:i/>
          <w:sz w:val="21"/>
          <w:szCs w:val="21"/>
        </w:rPr>
      </w:pPr>
      <w:r w:rsidRPr="0082723A">
        <w:rPr>
          <w:rFonts w:asciiTheme="minorHAnsi" w:hAnsiTheme="minorHAnsi" w:cs="Arial"/>
          <w:i/>
          <w:sz w:val="21"/>
          <w:szCs w:val="21"/>
        </w:rPr>
        <w:t>Note: Non-Disclosure Agreements are negotiated through ORSPA contracts and may require formal approval of the federal Contracting Officer.</w:t>
      </w:r>
    </w:p>
    <w:p w:rsidR="004B60DC" w:rsidRPr="0082723A" w:rsidRDefault="004B60DC" w:rsidP="00E402E5">
      <w:pPr>
        <w:autoSpaceDE w:val="0"/>
        <w:autoSpaceDN w:val="0"/>
        <w:adjustRightInd w:val="0"/>
        <w:jc w:val="both"/>
        <w:rPr>
          <w:rFonts w:asciiTheme="minorHAnsi" w:hAnsiTheme="minorHAnsi" w:cs="Arial"/>
          <w:sz w:val="21"/>
          <w:szCs w:val="21"/>
        </w:rPr>
      </w:pPr>
      <w:r w:rsidRPr="0082723A">
        <w:rPr>
          <w:rFonts w:asciiTheme="minorHAnsi" w:hAnsiTheme="minorHAnsi" w:cs="Arial"/>
          <w:sz w:val="21"/>
          <w:szCs w:val="21"/>
        </w:rPr>
        <w:t xml:space="preserve">Principal Investigators are reminded that sponsor restrictions on the publication or public disclosure of technical information, data, materials, or software generated under an export-controlled contract must have a </w:t>
      </w:r>
      <w:hyperlink r:id="rId16" w:history="1">
        <w:r w:rsidRPr="0082723A">
          <w:rPr>
            <w:rStyle w:val="Hyperlink"/>
            <w:rFonts w:asciiTheme="minorHAnsi" w:hAnsiTheme="minorHAnsi" w:cs="Arial"/>
            <w:sz w:val="21"/>
            <w:szCs w:val="21"/>
          </w:rPr>
          <w:t>publication waiver</w:t>
        </w:r>
      </w:hyperlink>
      <w:r w:rsidRPr="0082723A">
        <w:rPr>
          <w:rFonts w:asciiTheme="minorHAnsi" w:hAnsiTheme="minorHAnsi" w:cs="Arial"/>
          <w:sz w:val="21"/>
          <w:szCs w:val="21"/>
        </w:rPr>
        <w:t xml:space="preserve"> approved by the Vice President for Research’s Office prior to commencing any work.</w:t>
      </w:r>
    </w:p>
    <w:p w:rsidR="004B60DC" w:rsidRPr="0082723A" w:rsidRDefault="002E6C9F" w:rsidP="00E402E5">
      <w:pPr>
        <w:autoSpaceDE w:val="0"/>
        <w:autoSpaceDN w:val="0"/>
        <w:adjustRightInd w:val="0"/>
        <w:jc w:val="both"/>
        <w:rPr>
          <w:rFonts w:asciiTheme="minorHAnsi" w:hAnsiTheme="minorHAnsi" w:cs="Arial"/>
          <w:sz w:val="21"/>
          <w:szCs w:val="21"/>
        </w:rPr>
      </w:pPr>
      <w:r w:rsidRPr="0082723A">
        <w:rPr>
          <w:rFonts w:asciiTheme="minorHAnsi" w:hAnsiTheme="minorHAnsi" w:cs="Arial"/>
          <w:sz w:val="21"/>
          <w:szCs w:val="21"/>
        </w:rPr>
        <w:br/>
      </w:r>
      <w:r w:rsidR="004B60DC" w:rsidRPr="0082723A">
        <w:rPr>
          <w:rFonts w:asciiTheme="minorHAnsi" w:hAnsiTheme="minorHAnsi" w:cs="Arial"/>
          <w:sz w:val="21"/>
          <w:szCs w:val="21"/>
        </w:rPr>
        <w:t xml:space="preserve">The penalty for unlawful export and disclosure of Export-Controlled Information under the ITAR is up to two (2) years imprisonment and/or a fine of $100,000, and unlawful export and disclosure of information controlled under the EAR, the greater of (i) a fine of up to one million dollars ($1,000,000) or (ii) five times the value of the export and/or imprisonment of up to ten years for an individual. </w:t>
      </w:r>
    </w:p>
    <w:p w:rsidR="004B60DC" w:rsidRPr="0082723A" w:rsidRDefault="004B60DC" w:rsidP="00E402E5">
      <w:pPr>
        <w:autoSpaceDE w:val="0"/>
        <w:autoSpaceDN w:val="0"/>
        <w:adjustRightInd w:val="0"/>
        <w:jc w:val="both"/>
        <w:rPr>
          <w:rFonts w:asciiTheme="minorHAnsi" w:hAnsiTheme="minorHAnsi" w:cs="Arial"/>
          <w:sz w:val="21"/>
          <w:szCs w:val="21"/>
        </w:rPr>
      </w:pPr>
    </w:p>
    <w:p w:rsidR="004B60DC" w:rsidRPr="0082723A" w:rsidRDefault="004B60DC" w:rsidP="00E402E5">
      <w:pPr>
        <w:autoSpaceDE w:val="0"/>
        <w:autoSpaceDN w:val="0"/>
        <w:adjustRightInd w:val="0"/>
        <w:jc w:val="both"/>
        <w:rPr>
          <w:rFonts w:asciiTheme="minorHAnsi" w:hAnsiTheme="minorHAnsi" w:cs="Arial"/>
          <w:b/>
          <w:sz w:val="21"/>
          <w:szCs w:val="21"/>
        </w:rPr>
      </w:pPr>
      <w:r w:rsidRPr="0082723A">
        <w:rPr>
          <w:rFonts w:asciiTheme="minorHAnsi" w:hAnsiTheme="minorHAnsi" w:cs="Arial"/>
          <w:b/>
          <w:sz w:val="21"/>
          <w:szCs w:val="21"/>
        </w:rPr>
        <w:t>Definitions:</w:t>
      </w:r>
    </w:p>
    <w:p w:rsidR="00E402E5" w:rsidRPr="0082723A" w:rsidRDefault="00E402E5" w:rsidP="00E402E5">
      <w:pPr>
        <w:autoSpaceDE w:val="0"/>
        <w:autoSpaceDN w:val="0"/>
        <w:adjustRightInd w:val="0"/>
        <w:jc w:val="both"/>
        <w:rPr>
          <w:rFonts w:asciiTheme="minorHAnsi" w:hAnsiTheme="minorHAnsi" w:cs="Arial"/>
          <w:b/>
          <w:sz w:val="21"/>
          <w:szCs w:val="21"/>
        </w:rPr>
      </w:pPr>
    </w:p>
    <w:p w:rsidR="004B60DC" w:rsidRPr="0082723A" w:rsidRDefault="0082723A" w:rsidP="00E402E5">
      <w:pPr>
        <w:autoSpaceDE w:val="0"/>
        <w:autoSpaceDN w:val="0"/>
        <w:adjustRightInd w:val="0"/>
        <w:jc w:val="both"/>
        <w:rPr>
          <w:rFonts w:asciiTheme="minorHAnsi" w:hAnsiTheme="minorHAnsi" w:cs="Arial"/>
          <w:sz w:val="21"/>
          <w:szCs w:val="21"/>
        </w:rPr>
      </w:pPr>
      <w:r>
        <w:rPr>
          <w:rFonts w:asciiTheme="minorHAnsi" w:hAnsiTheme="minorHAnsi" w:cs="Arial"/>
          <w:sz w:val="21"/>
          <w:szCs w:val="21"/>
        </w:rPr>
        <w:t>Foreign Person</w:t>
      </w:r>
      <w:r w:rsidR="004B60DC" w:rsidRPr="0082723A">
        <w:rPr>
          <w:rFonts w:asciiTheme="minorHAnsi" w:hAnsiTheme="minorHAnsi" w:cs="Arial"/>
          <w:sz w:val="21"/>
          <w:szCs w:val="21"/>
        </w:rPr>
        <w:t xml:space="preserve">: Foreign governments, foreign corporations and their representatives, </w:t>
      </w:r>
      <w:r>
        <w:rPr>
          <w:rFonts w:asciiTheme="minorHAnsi" w:hAnsiTheme="minorHAnsi" w:cs="Arial"/>
          <w:sz w:val="21"/>
          <w:szCs w:val="21"/>
        </w:rPr>
        <w:t>as well as</w:t>
      </w:r>
      <w:r w:rsidR="004B60DC" w:rsidRPr="0082723A">
        <w:rPr>
          <w:rFonts w:asciiTheme="minorHAnsi" w:hAnsiTheme="minorHAnsi" w:cs="Arial"/>
          <w:sz w:val="21"/>
          <w:szCs w:val="21"/>
        </w:rPr>
        <w:t xml:space="preserve"> citizens of foreign countries.</w:t>
      </w:r>
    </w:p>
    <w:p w:rsidR="004B60DC" w:rsidRPr="0082723A" w:rsidRDefault="004B60DC" w:rsidP="00E402E5">
      <w:pPr>
        <w:autoSpaceDE w:val="0"/>
        <w:autoSpaceDN w:val="0"/>
        <w:adjustRightInd w:val="0"/>
        <w:jc w:val="both"/>
        <w:rPr>
          <w:rFonts w:asciiTheme="minorHAnsi" w:hAnsiTheme="minorHAnsi" w:cs="Arial"/>
          <w:sz w:val="21"/>
          <w:szCs w:val="21"/>
        </w:rPr>
      </w:pPr>
    </w:p>
    <w:p w:rsidR="004B60DC" w:rsidRPr="0082723A" w:rsidRDefault="004B60DC" w:rsidP="00E402E5">
      <w:pPr>
        <w:autoSpaceDE w:val="0"/>
        <w:autoSpaceDN w:val="0"/>
        <w:adjustRightInd w:val="0"/>
        <w:jc w:val="both"/>
        <w:rPr>
          <w:rFonts w:asciiTheme="minorHAnsi" w:hAnsiTheme="minorHAnsi" w:cs="Arial"/>
          <w:b/>
          <w:bCs/>
          <w:sz w:val="21"/>
          <w:szCs w:val="21"/>
        </w:rPr>
      </w:pPr>
      <w:r w:rsidRPr="0082723A">
        <w:rPr>
          <w:rFonts w:asciiTheme="minorHAnsi" w:hAnsiTheme="minorHAnsi" w:cs="Arial"/>
          <w:sz w:val="21"/>
          <w:szCs w:val="21"/>
        </w:rPr>
        <w:t xml:space="preserve">U.S. Person: Includes United States citizens and “Green-Card” </w:t>
      </w:r>
      <w:r w:rsidR="0082723A">
        <w:rPr>
          <w:rFonts w:asciiTheme="minorHAnsi" w:hAnsiTheme="minorHAnsi" w:cs="Arial"/>
          <w:sz w:val="21"/>
          <w:szCs w:val="21"/>
        </w:rPr>
        <w:t>holders</w:t>
      </w:r>
      <w:r w:rsidRPr="0082723A">
        <w:rPr>
          <w:rFonts w:asciiTheme="minorHAnsi" w:hAnsiTheme="minorHAnsi" w:cs="Arial"/>
          <w:sz w:val="21"/>
          <w:szCs w:val="21"/>
        </w:rPr>
        <w:t>, permanent resident aliens. It also includes any corporation, business association, partnership, society, trust, or any other entity organization or group that is incorporated to do business in the United States.</w:t>
      </w:r>
    </w:p>
    <w:sectPr w:rsidR="004B60DC" w:rsidRPr="0082723A" w:rsidSect="00E402E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3C0" w:rsidRDefault="005D13C0" w:rsidP="00C43EB8">
      <w:r>
        <w:separator/>
      </w:r>
    </w:p>
  </w:endnote>
  <w:endnote w:type="continuationSeparator" w:id="0">
    <w:p w:rsidR="005D13C0" w:rsidRDefault="005D13C0" w:rsidP="00C4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8B" w:rsidRPr="0082723A" w:rsidRDefault="00220C8B" w:rsidP="00E402E5">
    <w:pPr>
      <w:rPr>
        <w:rFonts w:asciiTheme="minorHAnsi" w:hAnsiTheme="minorHAnsi"/>
        <w:sz w:val="20"/>
        <w:szCs w:val="20"/>
        <w:lang w:val="fr-FR"/>
      </w:rPr>
    </w:pPr>
    <w:r w:rsidRPr="0082723A">
      <w:rPr>
        <w:rFonts w:asciiTheme="minorHAnsi" w:hAnsiTheme="minorHAnsi"/>
        <w:sz w:val="20"/>
        <w:szCs w:val="20"/>
        <w:lang w:val="fr-FR"/>
      </w:rPr>
      <w:t xml:space="preserve">ORIA </w:t>
    </w:r>
    <w:r w:rsidR="00D75A1A">
      <w:rPr>
        <w:rFonts w:asciiTheme="minorHAnsi" w:hAnsiTheme="minorHAnsi"/>
        <w:sz w:val="20"/>
        <w:szCs w:val="20"/>
        <w:lang w:val="fr-FR"/>
      </w:rPr>
      <w:t>10/18/10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3C0" w:rsidRDefault="005D13C0" w:rsidP="00C43EB8">
      <w:r>
        <w:separator/>
      </w:r>
    </w:p>
  </w:footnote>
  <w:footnote w:type="continuationSeparator" w:id="0">
    <w:p w:rsidR="005D13C0" w:rsidRDefault="005D13C0" w:rsidP="00C43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8B" w:rsidRPr="00C43EB8" w:rsidRDefault="0082723A" w:rsidP="00C43EB8">
    <w:pPr>
      <w:pStyle w:val="Header"/>
    </w:pPr>
    <w:r w:rsidRPr="0082723A">
      <w:rPr>
        <w:noProof/>
      </w:rPr>
      <w:drawing>
        <wp:anchor distT="0" distB="0" distL="114300" distR="114300" simplePos="0" relativeHeight="251659264" behindDoc="0" locked="0" layoutInCell="1" allowOverlap="1">
          <wp:simplePos x="0" y="0"/>
          <wp:positionH relativeFrom="column">
            <wp:posOffset>-276225</wp:posOffset>
          </wp:positionH>
          <wp:positionV relativeFrom="paragraph">
            <wp:posOffset>-409575</wp:posOffset>
          </wp:positionV>
          <wp:extent cx="6210300" cy="10763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b="18747"/>
                  <a:stretch>
                    <a:fillRect/>
                  </a:stretch>
                </pic:blipFill>
                <pic:spPr bwMode="auto">
                  <a:xfrm>
                    <a:off x="0" y="0"/>
                    <a:ext cx="6210300" cy="1076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23E65"/>
    <w:multiLevelType w:val="hybridMultilevel"/>
    <w:tmpl w:val="E830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E06F3"/>
    <w:multiLevelType w:val="hybridMultilevel"/>
    <w:tmpl w:val="092AE592"/>
    <w:lvl w:ilvl="0" w:tplc="0B9CCA08">
      <w:numFmt w:val="bullet"/>
      <w:lvlText w:val="•"/>
      <w:lvlJc w:val="left"/>
      <w:pPr>
        <w:ind w:left="720" w:hanging="360"/>
      </w:pPr>
      <w:rPr>
        <w:rFonts w:ascii="Trebuchet MS" w:eastAsia="Times New Roman" w:hAnsi="Trebuchet MS"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06"/>
    <w:rsid w:val="00046318"/>
    <w:rsid w:val="000F389A"/>
    <w:rsid w:val="00161678"/>
    <w:rsid w:val="001647E1"/>
    <w:rsid w:val="001A01B9"/>
    <w:rsid w:val="001A0F1C"/>
    <w:rsid w:val="001D262D"/>
    <w:rsid w:val="001D655C"/>
    <w:rsid w:val="00220C8B"/>
    <w:rsid w:val="00224228"/>
    <w:rsid w:val="00282539"/>
    <w:rsid w:val="002E6C9F"/>
    <w:rsid w:val="002F2A87"/>
    <w:rsid w:val="003B65FB"/>
    <w:rsid w:val="003D7AF8"/>
    <w:rsid w:val="003E50A1"/>
    <w:rsid w:val="004200C6"/>
    <w:rsid w:val="00435B7F"/>
    <w:rsid w:val="00455D07"/>
    <w:rsid w:val="004B60DC"/>
    <w:rsid w:val="004F5E99"/>
    <w:rsid w:val="005A00B0"/>
    <w:rsid w:val="005D13C0"/>
    <w:rsid w:val="006A3950"/>
    <w:rsid w:val="006B3C8F"/>
    <w:rsid w:val="006C3095"/>
    <w:rsid w:val="006C5822"/>
    <w:rsid w:val="0082723A"/>
    <w:rsid w:val="008363FC"/>
    <w:rsid w:val="00884E45"/>
    <w:rsid w:val="00890037"/>
    <w:rsid w:val="008A1606"/>
    <w:rsid w:val="00964605"/>
    <w:rsid w:val="00966D2A"/>
    <w:rsid w:val="00A4476D"/>
    <w:rsid w:val="00AC2852"/>
    <w:rsid w:val="00B1553C"/>
    <w:rsid w:val="00B341A8"/>
    <w:rsid w:val="00B75DE0"/>
    <w:rsid w:val="00B76283"/>
    <w:rsid w:val="00B9741F"/>
    <w:rsid w:val="00BF6E88"/>
    <w:rsid w:val="00C43EB8"/>
    <w:rsid w:val="00C53162"/>
    <w:rsid w:val="00D05FDF"/>
    <w:rsid w:val="00D643DF"/>
    <w:rsid w:val="00D75A1A"/>
    <w:rsid w:val="00DE3BD0"/>
    <w:rsid w:val="00E1448D"/>
    <w:rsid w:val="00E23A4E"/>
    <w:rsid w:val="00E402E5"/>
    <w:rsid w:val="00EA041D"/>
    <w:rsid w:val="00F07286"/>
    <w:rsid w:val="00F67855"/>
    <w:rsid w:val="00F9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4483F3-622C-4CC1-A76A-16E4A1E0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5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2539"/>
    <w:rPr>
      <w:color w:val="0000FF"/>
      <w:u w:val="single"/>
    </w:rPr>
  </w:style>
  <w:style w:type="character" w:styleId="FollowedHyperlink">
    <w:name w:val="FollowedHyperlink"/>
    <w:basedOn w:val="DefaultParagraphFont"/>
    <w:rsid w:val="00282539"/>
    <w:rPr>
      <w:color w:val="800080"/>
      <w:u w:val="single"/>
    </w:rPr>
  </w:style>
  <w:style w:type="paragraph" w:styleId="BalloonText">
    <w:name w:val="Balloon Text"/>
    <w:basedOn w:val="Normal"/>
    <w:semiHidden/>
    <w:rsid w:val="00282539"/>
    <w:rPr>
      <w:rFonts w:ascii="Tahoma" w:hAnsi="Tahoma"/>
      <w:sz w:val="16"/>
      <w:szCs w:val="16"/>
    </w:rPr>
  </w:style>
  <w:style w:type="paragraph" w:styleId="Header">
    <w:name w:val="header"/>
    <w:basedOn w:val="Normal"/>
    <w:link w:val="HeaderChar"/>
    <w:rsid w:val="00C43EB8"/>
    <w:pPr>
      <w:tabs>
        <w:tab w:val="center" w:pos="4680"/>
        <w:tab w:val="right" w:pos="9360"/>
      </w:tabs>
    </w:pPr>
  </w:style>
  <w:style w:type="character" w:customStyle="1" w:styleId="HeaderChar">
    <w:name w:val="Header Char"/>
    <w:basedOn w:val="DefaultParagraphFont"/>
    <w:link w:val="Header"/>
    <w:rsid w:val="00C43EB8"/>
    <w:rPr>
      <w:sz w:val="24"/>
      <w:szCs w:val="24"/>
    </w:rPr>
  </w:style>
  <w:style w:type="paragraph" w:styleId="Footer">
    <w:name w:val="footer"/>
    <w:basedOn w:val="Normal"/>
    <w:link w:val="FooterChar"/>
    <w:uiPriority w:val="99"/>
    <w:rsid w:val="00C43EB8"/>
    <w:pPr>
      <w:tabs>
        <w:tab w:val="center" w:pos="4680"/>
        <w:tab w:val="right" w:pos="9360"/>
      </w:tabs>
    </w:pPr>
  </w:style>
  <w:style w:type="character" w:customStyle="1" w:styleId="FooterChar">
    <w:name w:val="Footer Char"/>
    <w:basedOn w:val="DefaultParagraphFont"/>
    <w:link w:val="Footer"/>
    <w:uiPriority w:val="99"/>
    <w:rsid w:val="00C43EB8"/>
    <w:rPr>
      <w:sz w:val="24"/>
      <w:szCs w:val="24"/>
    </w:rPr>
  </w:style>
  <w:style w:type="table" w:styleId="TableGrid">
    <w:name w:val="Table Grid"/>
    <w:basedOn w:val="TableNormal"/>
    <w:rsid w:val="006C30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as.gov/offices/enforcement/ofac/"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mddtc.state.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vprea.sharepoint.asu.edu/researchadmin/integrity/workingdocuments/Export%20Compliance/Forms,%20Policies%20and%20Procedures/Forms/publication%20review-delay%20procedures%201-9-09.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ess.gpo.gov/bis/" TargetMode="External"/><Relationship Id="rId5" Type="http://schemas.openxmlformats.org/officeDocument/2006/relationships/numbering" Target="numbering.xml"/><Relationship Id="rId15" Type="http://schemas.openxmlformats.org/officeDocument/2006/relationships/hyperlink" Target="mailto:Research.Integrity@asu.edu?subject=Question%20About%20Expor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nsa.energy.gov/nuclear_nonproliferation/documents/INECP_Brochu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2CD92BDE63B44AFC38DD9373C46DA" ma:contentTypeVersion="0" ma:contentTypeDescription="Create a new document." ma:contentTypeScope="" ma:versionID="d75f86d09f88a20216a5ab968b3be0e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57B742D-6E77-4BA5-AA0A-55356E48CDC0}">
  <ds:schemaRefs>
    <ds:schemaRef ds:uri="http://schemas.microsoft.com/office/2006/metadata/properties"/>
  </ds:schemaRefs>
</ds:datastoreItem>
</file>

<file path=customXml/itemProps2.xml><?xml version="1.0" encoding="utf-8"?>
<ds:datastoreItem xmlns:ds="http://schemas.openxmlformats.org/officeDocument/2006/customXml" ds:itemID="{39D1F449-A9AD-49D0-83AB-6852B3FA2A07}">
  <ds:schemaRefs>
    <ds:schemaRef ds:uri="http://schemas.microsoft.com/sharepoint/v3/contenttype/forms"/>
  </ds:schemaRefs>
</ds:datastoreItem>
</file>

<file path=customXml/itemProps3.xml><?xml version="1.0" encoding="utf-8"?>
<ds:datastoreItem xmlns:ds="http://schemas.openxmlformats.org/officeDocument/2006/customXml" ds:itemID="{59134CDA-4E04-4046-83C2-14C212592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9556DF-3CAD-40D8-81F0-ADC20F316FA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Arizona State University</vt:lpstr>
    </vt:vector>
  </TitlesOfParts>
  <Company>Arizona State University</Company>
  <LinksUpToDate>false</LinksUpToDate>
  <CharactersWithSpaces>6403</CharactersWithSpaces>
  <SharedDoc>false</SharedDoc>
  <HLinks>
    <vt:vector size="36" baseType="variant">
      <vt:variant>
        <vt:i4>1966184</vt:i4>
      </vt:variant>
      <vt:variant>
        <vt:i4>15</vt:i4>
      </vt:variant>
      <vt:variant>
        <vt:i4>0</vt:i4>
      </vt:variant>
      <vt:variant>
        <vt:i4>5</vt:i4>
      </vt:variant>
      <vt:variant>
        <vt:lpwstr>C:\Documents and Settings\bisrael1\Local Settings\Temporary Internet Files\Content.Outlook\OLUD5YH0\publication review-delay procedures 1-9-09.docx</vt:lpwstr>
      </vt:variant>
      <vt:variant>
        <vt:lpwstr/>
      </vt:variant>
      <vt:variant>
        <vt:i4>3473474</vt:i4>
      </vt:variant>
      <vt:variant>
        <vt:i4>12</vt:i4>
      </vt:variant>
      <vt:variant>
        <vt:i4>0</vt:i4>
      </vt:variant>
      <vt:variant>
        <vt:i4>5</vt:i4>
      </vt:variant>
      <vt:variant>
        <vt:lpwstr>mailto:sheryl.trexler@asu.edu</vt:lpwstr>
      </vt:variant>
      <vt:variant>
        <vt:lpwstr/>
      </vt:variant>
      <vt:variant>
        <vt:i4>2687037</vt:i4>
      </vt:variant>
      <vt:variant>
        <vt:i4>9</vt:i4>
      </vt:variant>
      <vt:variant>
        <vt:i4>0</vt:i4>
      </vt:variant>
      <vt:variant>
        <vt:i4>5</vt:i4>
      </vt:variant>
      <vt:variant>
        <vt:lpwstr>http://www.nnsa.energy.gov/nuclear_nonproliferation/documents/INECP_Brochure.pdf</vt:lpwstr>
      </vt:variant>
      <vt:variant>
        <vt:lpwstr/>
      </vt:variant>
      <vt:variant>
        <vt:i4>6619171</vt:i4>
      </vt:variant>
      <vt:variant>
        <vt:i4>6</vt:i4>
      </vt:variant>
      <vt:variant>
        <vt:i4>0</vt:i4>
      </vt:variant>
      <vt:variant>
        <vt:i4>5</vt:i4>
      </vt:variant>
      <vt:variant>
        <vt:lpwstr>http://www.treas.gov/offices/enforcement/ofac/</vt:lpwstr>
      </vt:variant>
      <vt:variant>
        <vt:lpwstr/>
      </vt:variant>
      <vt:variant>
        <vt:i4>720901</vt:i4>
      </vt:variant>
      <vt:variant>
        <vt:i4>3</vt:i4>
      </vt:variant>
      <vt:variant>
        <vt:i4>0</vt:i4>
      </vt:variant>
      <vt:variant>
        <vt:i4>5</vt:i4>
      </vt:variant>
      <vt:variant>
        <vt:lpwstr>http://pmddtc.state.gov/</vt:lpwstr>
      </vt:variant>
      <vt:variant>
        <vt:lpwstr/>
      </vt:variant>
      <vt:variant>
        <vt:i4>2883629</vt:i4>
      </vt:variant>
      <vt:variant>
        <vt:i4>0</vt:i4>
      </vt:variant>
      <vt:variant>
        <vt:i4>0</vt:i4>
      </vt:variant>
      <vt:variant>
        <vt:i4>5</vt:i4>
      </vt:variant>
      <vt:variant>
        <vt:lpwstr>http://www.access.gpo.gov/bis/</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State University</dc:title>
  <dc:subject/>
  <dc:creator>strexler</dc:creator>
  <cp:keywords/>
  <dc:description/>
  <cp:lastModifiedBy>Chantelle Shalley</cp:lastModifiedBy>
  <cp:revision>2</cp:revision>
  <cp:lastPrinted>2009-12-18T21:32:00Z</cp:lastPrinted>
  <dcterms:created xsi:type="dcterms:W3CDTF">2018-04-24T17:26:00Z</dcterms:created>
  <dcterms:modified xsi:type="dcterms:W3CDTF">2018-04-24T17:26:00Z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strexler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0x010100E1D2CD92BDE63B44AFC38DD9373C46DA</vt:lpwstr>
  </property>
</Properties>
</file>